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389D561C" w14:textId="77777777" w:rsidR="00AD5234" w:rsidRDefault="00AD5234" w:rsidP="00AD5234">
      <w:pPr>
        <w:pStyle w:val="Default"/>
        <w:jc w:val="center"/>
        <w:rPr>
          <w:rFonts w:ascii="Arial" w:eastAsia="Times New Roman" w:hAnsi="Arial" w:cs="Arial"/>
          <w:b/>
          <w:bCs/>
          <w:noProof/>
          <w:color w:val="222222"/>
          <w:sz w:val="28"/>
          <w:szCs w:val="28"/>
          <w:lang w:val="de-AT" w:eastAsia="de-DE"/>
        </w:rPr>
      </w:pPr>
      <w:bookmarkStart w:id="1" w:name="_Hlk518036377"/>
    </w:p>
    <w:p w14:paraId="1B552D15" w14:textId="783C33D4" w:rsidR="00AD5234" w:rsidRPr="00AD5234" w:rsidRDefault="00AD5234" w:rsidP="00AD5234">
      <w:pPr>
        <w:pStyle w:val="Default"/>
        <w:jc w:val="center"/>
        <w:rPr>
          <w:rFonts w:ascii="Arial" w:eastAsia="Times New Roman" w:hAnsi="Arial" w:cs="Arial"/>
          <w:b/>
          <w:bCs/>
          <w:noProof/>
          <w:color w:val="222222"/>
          <w:sz w:val="28"/>
          <w:szCs w:val="28"/>
          <w:lang w:val="de-AT" w:eastAsia="de-DE"/>
        </w:rPr>
      </w:pPr>
      <w:r w:rsidRPr="00AD5234">
        <w:rPr>
          <w:rFonts w:ascii="Arial" w:eastAsia="Times New Roman" w:hAnsi="Arial" w:cs="Arial"/>
          <w:b/>
          <w:bCs/>
          <w:noProof/>
          <w:color w:val="222222"/>
          <w:sz w:val="28"/>
          <w:szCs w:val="28"/>
          <w:lang w:val="de-AT" w:eastAsia="de-DE"/>
        </w:rPr>
        <w:t>Investitionen in Insurtech erreichen 7 Milliarden Dollar und übertreffen das Niveau vor COVID-19</w:t>
      </w:r>
    </w:p>
    <w:p w14:paraId="2C5FFBDE" w14:textId="77777777" w:rsidR="00AD5234" w:rsidRDefault="00AD5234" w:rsidP="00AD5234">
      <w:pPr>
        <w:pStyle w:val="Default"/>
        <w:jc w:val="center"/>
        <w:rPr>
          <w:rFonts w:ascii="Arial" w:hAnsi="Arial" w:cs="Arial"/>
          <w:iCs/>
          <w:szCs w:val="34"/>
          <w:lang w:val="de-DE"/>
        </w:rPr>
      </w:pPr>
    </w:p>
    <w:p w14:paraId="3CCA4640" w14:textId="5936CA9B" w:rsidR="00AD5234" w:rsidRPr="00D0677D" w:rsidRDefault="00AD5234" w:rsidP="00AD5234">
      <w:pPr>
        <w:pStyle w:val="Default"/>
        <w:jc w:val="center"/>
        <w:rPr>
          <w:rFonts w:ascii="Arial" w:eastAsia="Times New Roman" w:hAnsi="Arial" w:cs="Arial"/>
          <w:b/>
          <w:bCs/>
          <w:iCs/>
          <w:noProof/>
          <w:color w:val="222222"/>
          <w:sz w:val="28"/>
          <w:szCs w:val="28"/>
          <w:lang w:val="en-US" w:eastAsia="de-DE"/>
        </w:rPr>
      </w:pPr>
      <w:r w:rsidRPr="00D0677D">
        <w:rPr>
          <w:rFonts w:ascii="Arial" w:hAnsi="Arial" w:cs="Arial"/>
          <w:iCs/>
          <w:szCs w:val="34"/>
          <w:lang w:val="en-US"/>
        </w:rPr>
        <w:t>"</w:t>
      </w:r>
      <w:proofErr w:type="spellStart"/>
      <w:r w:rsidRPr="00D0677D">
        <w:rPr>
          <w:rFonts w:ascii="Arial" w:hAnsi="Arial" w:cs="Arial"/>
          <w:iCs/>
          <w:szCs w:val="34"/>
          <w:lang w:val="en-US"/>
        </w:rPr>
        <w:t>Insurtech</w:t>
      </w:r>
      <w:proofErr w:type="spellEnd"/>
      <w:r w:rsidRPr="00D0677D">
        <w:rPr>
          <w:rFonts w:ascii="Arial" w:hAnsi="Arial" w:cs="Arial"/>
          <w:iCs/>
          <w:szCs w:val="34"/>
          <w:lang w:val="en-US"/>
        </w:rPr>
        <w:t xml:space="preserve"> Global Outlook 2021" </w:t>
      </w:r>
      <w:proofErr w:type="spellStart"/>
      <w:r w:rsidR="00BA16FF" w:rsidRPr="000630F3">
        <w:rPr>
          <w:rFonts w:ascii="Arial" w:hAnsi="Arial" w:cs="Arial"/>
          <w:iCs/>
          <w:szCs w:val="34"/>
          <w:lang w:val="en-US"/>
        </w:rPr>
        <w:t>Studie</w:t>
      </w:r>
      <w:proofErr w:type="spellEnd"/>
      <w:r w:rsidRPr="00D0677D">
        <w:rPr>
          <w:rFonts w:ascii="Arial" w:hAnsi="Arial" w:cs="Arial"/>
          <w:iCs/>
          <w:szCs w:val="34"/>
          <w:lang w:val="en-US"/>
        </w:rPr>
        <w:t xml:space="preserve"> von NTT DATA</w:t>
      </w:r>
      <w:bookmarkEnd w:id="1"/>
      <w:r w:rsidR="00F17B2F" w:rsidRPr="00D0677D">
        <w:rPr>
          <w:rFonts w:ascii="Arial" w:hAnsi="Arial" w:cs="Arial"/>
          <w:iCs/>
          <w:szCs w:val="34"/>
          <w:lang w:val="en-US"/>
        </w:rPr>
        <w:t xml:space="preserve"> </w:t>
      </w:r>
    </w:p>
    <w:p w14:paraId="36F5E84F" w14:textId="77777777" w:rsidR="00AD5234" w:rsidRPr="006063B3" w:rsidRDefault="00AD5234" w:rsidP="00AD5234">
      <w:pPr>
        <w:pStyle w:val="Listenabsatz"/>
        <w:spacing w:after="0" w:line="240" w:lineRule="auto"/>
        <w:jc w:val="center"/>
        <w:rPr>
          <w:rFonts w:ascii="Arial" w:hAnsi="Arial" w:cs="Arial"/>
          <w:sz w:val="20"/>
          <w:szCs w:val="20"/>
          <w:lang w:val="en-GB"/>
        </w:rPr>
      </w:pPr>
    </w:p>
    <w:p w14:paraId="4755146C" w14:textId="18FD8852" w:rsidR="00AD5234" w:rsidRPr="00BA450A" w:rsidRDefault="00AD5234" w:rsidP="00493028">
      <w:pPr>
        <w:pStyle w:val="Listenabsatz"/>
        <w:numPr>
          <w:ilvl w:val="0"/>
          <w:numId w:val="5"/>
        </w:numPr>
        <w:spacing w:after="0" w:line="240" w:lineRule="auto"/>
        <w:rPr>
          <w:rFonts w:ascii="Arial" w:hAnsi="Arial" w:cs="Arial"/>
          <w:sz w:val="20"/>
          <w:szCs w:val="20"/>
          <w:lang w:val="de-DE"/>
        </w:rPr>
      </w:pPr>
      <w:r w:rsidRPr="00BA450A">
        <w:rPr>
          <w:rFonts w:ascii="Arial" w:hAnsi="Arial" w:cs="Arial"/>
          <w:sz w:val="20"/>
          <w:szCs w:val="20"/>
          <w:lang w:val="de-DE"/>
        </w:rPr>
        <w:t>D</w:t>
      </w:r>
      <w:r w:rsidR="00BA16FF">
        <w:rPr>
          <w:rFonts w:ascii="Arial" w:hAnsi="Arial" w:cs="Arial"/>
          <w:sz w:val="20"/>
          <w:szCs w:val="20"/>
          <w:lang w:val="de-DE"/>
        </w:rPr>
        <w:t>ie</w:t>
      </w:r>
      <w:r w:rsidRPr="00BA450A">
        <w:rPr>
          <w:rFonts w:ascii="Arial" w:hAnsi="Arial" w:cs="Arial"/>
          <w:sz w:val="20"/>
          <w:szCs w:val="20"/>
          <w:lang w:val="de-DE"/>
        </w:rPr>
        <w:t xml:space="preserve"> </w:t>
      </w:r>
      <w:r w:rsidR="00BA16FF">
        <w:rPr>
          <w:rFonts w:ascii="Arial" w:hAnsi="Arial" w:cs="Arial"/>
          <w:sz w:val="20"/>
          <w:szCs w:val="20"/>
          <w:lang w:val="de-DE"/>
        </w:rPr>
        <w:t>Studie</w:t>
      </w:r>
      <w:r w:rsidRPr="00BA450A">
        <w:rPr>
          <w:rFonts w:ascii="Arial" w:hAnsi="Arial" w:cs="Arial"/>
          <w:sz w:val="20"/>
          <w:szCs w:val="20"/>
          <w:lang w:val="de-DE"/>
        </w:rPr>
        <w:t xml:space="preserve"> </w:t>
      </w:r>
      <w:proofErr w:type="spellStart"/>
      <w:r w:rsidRPr="00BA450A">
        <w:rPr>
          <w:rFonts w:ascii="Arial" w:hAnsi="Arial" w:cs="Arial"/>
          <w:sz w:val="20"/>
          <w:szCs w:val="20"/>
          <w:lang w:val="de-DE"/>
        </w:rPr>
        <w:t>Insurtech</w:t>
      </w:r>
      <w:proofErr w:type="spellEnd"/>
      <w:r w:rsidRPr="00BA450A">
        <w:rPr>
          <w:rFonts w:ascii="Arial" w:hAnsi="Arial" w:cs="Arial"/>
          <w:sz w:val="20"/>
          <w:szCs w:val="20"/>
          <w:lang w:val="de-DE"/>
        </w:rPr>
        <w:t xml:space="preserve"> Global Outlook 2021 von NTT DATA analysiert Trends, Herausforderungen und Chancen in der Versicherungsbranche</w:t>
      </w:r>
      <w:r>
        <w:rPr>
          <w:rFonts w:ascii="Arial" w:hAnsi="Arial" w:cs="Arial"/>
          <w:sz w:val="20"/>
          <w:szCs w:val="20"/>
          <w:lang w:val="de-DE"/>
        </w:rPr>
        <w:t>.</w:t>
      </w:r>
      <w:r w:rsidR="00BA16FF">
        <w:rPr>
          <w:rFonts w:ascii="Arial" w:hAnsi="Arial" w:cs="Arial"/>
          <w:sz w:val="20"/>
          <w:szCs w:val="20"/>
          <w:lang w:val="de-DE"/>
        </w:rPr>
        <w:t xml:space="preserve"> Sie</w:t>
      </w:r>
      <w:r w:rsidRPr="00BA450A">
        <w:rPr>
          <w:rFonts w:ascii="Arial" w:hAnsi="Arial" w:cs="Arial"/>
          <w:sz w:val="20"/>
          <w:szCs w:val="20"/>
          <w:lang w:val="de-DE"/>
        </w:rPr>
        <w:t xml:space="preserve"> liefert Expertenwissen zu </w:t>
      </w:r>
      <w:proofErr w:type="spellStart"/>
      <w:r w:rsidRPr="00BA450A">
        <w:rPr>
          <w:rFonts w:ascii="Arial" w:hAnsi="Arial" w:cs="Arial"/>
          <w:sz w:val="20"/>
          <w:szCs w:val="20"/>
          <w:lang w:val="de-DE"/>
        </w:rPr>
        <w:t>Insurtech</w:t>
      </w:r>
      <w:proofErr w:type="spellEnd"/>
      <w:r w:rsidRPr="00BA450A">
        <w:rPr>
          <w:rFonts w:ascii="Arial" w:hAnsi="Arial" w:cs="Arial"/>
          <w:sz w:val="20"/>
          <w:szCs w:val="20"/>
          <w:lang w:val="de-DE"/>
        </w:rPr>
        <w:t xml:space="preserve">-Unternehmen mit dem größten Einfluss </w:t>
      </w:r>
      <w:r>
        <w:rPr>
          <w:rFonts w:ascii="Arial" w:hAnsi="Arial" w:cs="Arial"/>
          <w:sz w:val="20"/>
          <w:szCs w:val="20"/>
          <w:lang w:val="de-DE"/>
        </w:rPr>
        <w:t>in dem</w:t>
      </w:r>
      <w:r w:rsidRPr="00BA450A">
        <w:rPr>
          <w:rFonts w:ascii="Arial" w:hAnsi="Arial" w:cs="Arial"/>
          <w:sz w:val="20"/>
          <w:szCs w:val="20"/>
          <w:lang w:val="de-DE"/>
        </w:rPr>
        <w:t xml:space="preserve"> Sektor.</w:t>
      </w:r>
    </w:p>
    <w:p w14:paraId="25FD5A1D" w14:textId="77777777" w:rsidR="00AD5234" w:rsidRPr="00BA450A" w:rsidRDefault="00AD5234" w:rsidP="00493028">
      <w:pPr>
        <w:pStyle w:val="Listenabsatz"/>
        <w:spacing w:after="0" w:line="240" w:lineRule="auto"/>
        <w:contextualSpacing w:val="0"/>
        <w:rPr>
          <w:rFonts w:ascii="Arial" w:hAnsi="Arial" w:cs="Arial"/>
          <w:sz w:val="20"/>
          <w:szCs w:val="20"/>
          <w:shd w:val="clear" w:color="auto" w:fill="FFFFFF"/>
          <w:lang w:val="de-DE"/>
        </w:rPr>
      </w:pPr>
    </w:p>
    <w:p w14:paraId="0376CD13" w14:textId="77777777" w:rsidR="00AD5234" w:rsidRPr="005D2E49" w:rsidRDefault="00AD5234" w:rsidP="00493028">
      <w:pPr>
        <w:pStyle w:val="Listenabsatz"/>
        <w:numPr>
          <w:ilvl w:val="0"/>
          <w:numId w:val="5"/>
        </w:numPr>
        <w:spacing w:after="0" w:line="240" w:lineRule="auto"/>
        <w:rPr>
          <w:rFonts w:ascii="Arial" w:hAnsi="Arial" w:cs="Arial"/>
          <w:color w:val="000000" w:themeColor="text1"/>
          <w:sz w:val="20"/>
          <w:szCs w:val="20"/>
          <w:shd w:val="clear" w:color="auto" w:fill="FFFFFF"/>
          <w:lang w:val="de-DE"/>
        </w:rPr>
      </w:pPr>
      <w:r w:rsidRPr="005D2E49">
        <w:rPr>
          <w:rFonts w:ascii="Arial" w:hAnsi="Arial" w:cs="Arial"/>
          <w:sz w:val="20"/>
          <w:szCs w:val="20"/>
          <w:lang w:val="de-DE"/>
        </w:rPr>
        <w:t>Im vergangenen Jahr investierten Versicherungsunternehmen fast 1,6 Milliarden Dollar in Startups, was einem Anstieg von</w:t>
      </w:r>
      <w:r>
        <w:rPr>
          <w:rFonts w:ascii="Arial" w:hAnsi="Arial" w:cs="Arial"/>
          <w:sz w:val="20"/>
          <w:szCs w:val="20"/>
          <w:lang w:val="de-DE"/>
        </w:rPr>
        <w:t xml:space="preserve"> 2019 auf 2020 um</w:t>
      </w:r>
      <w:r w:rsidRPr="005D2E49">
        <w:rPr>
          <w:rFonts w:ascii="Arial" w:hAnsi="Arial" w:cs="Arial"/>
          <w:sz w:val="20"/>
          <w:szCs w:val="20"/>
          <w:lang w:val="de-DE"/>
        </w:rPr>
        <w:t xml:space="preserve"> 61 </w:t>
      </w:r>
      <w:r>
        <w:rPr>
          <w:rFonts w:ascii="Arial" w:hAnsi="Arial" w:cs="Arial"/>
          <w:sz w:val="20"/>
          <w:szCs w:val="20"/>
          <w:lang w:val="de-DE"/>
        </w:rPr>
        <w:t>Prozent</w:t>
      </w:r>
      <w:r w:rsidRPr="005D2E49">
        <w:rPr>
          <w:rFonts w:ascii="Arial" w:hAnsi="Arial" w:cs="Arial"/>
          <w:sz w:val="20"/>
          <w:szCs w:val="20"/>
          <w:lang w:val="de-DE"/>
        </w:rPr>
        <w:t xml:space="preserve"> entspricht</w:t>
      </w:r>
      <w:r>
        <w:rPr>
          <w:rFonts w:ascii="Arial" w:hAnsi="Arial" w:cs="Arial"/>
          <w:sz w:val="20"/>
          <w:szCs w:val="20"/>
          <w:lang w:val="de-DE"/>
        </w:rPr>
        <w:t>.</w:t>
      </w:r>
    </w:p>
    <w:p w14:paraId="7FA610C3" w14:textId="77777777" w:rsidR="00AD5234" w:rsidRPr="005D2E49" w:rsidRDefault="00AD5234" w:rsidP="00493028">
      <w:pPr>
        <w:pStyle w:val="Listenabsatz"/>
        <w:rPr>
          <w:rFonts w:ascii="Arial" w:hAnsi="Arial" w:cs="Arial"/>
          <w:bCs/>
          <w:color w:val="000000" w:themeColor="text1"/>
          <w:sz w:val="20"/>
          <w:szCs w:val="20"/>
          <w:shd w:val="clear" w:color="auto" w:fill="FFFFFF"/>
          <w:lang w:val="de-DE"/>
        </w:rPr>
      </w:pPr>
    </w:p>
    <w:p w14:paraId="20DE1841" w14:textId="0C291155" w:rsidR="00AD5234" w:rsidRPr="00C84A1D" w:rsidRDefault="00AD5234" w:rsidP="00F17B2F">
      <w:pPr>
        <w:pStyle w:val="Listenabsatz"/>
        <w:numPr>
          <w:ilvl w:val="0"/>
          <w:numId w:val="5"/>
        </w:numPr>
        <w:spacing w:line="259" w:lineRule="auto"/>
        <w:rPr>
          <w:rFonts w:ascii="Arial" w:hAnsi="Arial" w:cs="Arial"/>
          <w:sz w:val="20"/>
          <w:szCs w:val="20"/>
          <w:lang w:val="de-DE"/>
        </w:rPr>
      </w:pPr>
      <w:r w:rsidRPr="00C84A1D">
        <w:rPr>
          <w:rFonts w:ascii="Arial" w:hAnsi="Arial" w:cs="Arial"/>
          <w:sz w:val="20"/>
          <w:szCs w:val="20"/>
          <w:lang w:val="de-DE"/>
        </w:rPr>
        <w:t>COVID-19 beschleunigt nutzungsbasierte Versicherungen</w:t>
      </w:r>
      <w:r w:rsidR="00F17B2F">
        <w:rPr>
          <w:rFonts w:ascii="Arial" w:hAnsi="Arial" w:cs="Arial"/>
          <w:sz w:val="20"/>
          <w:szCs w:val="20"/>
          <w:lang w:val="de-DE"/>
        </w:rPr>
        <w:t xml:space="preserve"> (</w:t>
      </w:r>
      <w:r w:rsidR="00F17B2F" w:rsidRPr="00F17B2F">
        <w:rPr>
          <w:rFonts w:ascii="Arial" w:hAnsi="Arial" w:cs="Arial"/>
          <w:sz w:val="20"/>
          <w:szCs w:val="20"/>
          <w:lang w:val="de-DE"/>
        </w:rPr>
        <w:t>Pay-per-</w:t>
      </w:r>
      <w:proofErr w:type="spellStart"/>
      <w:r w:rsidR="00F17B2F" w:rsidRPr="00F17B2F">
        <w:rPr>
          <w:rFonts w:ascii="Arial" w:hAnsi="Arial" w:cs="Arial"/>
          <w:sz w:val="20"/>
          <w:szCs w:val="20"/>
          <w:lang w:val="de-DE"/>
        </w:rPr>
        <w:t>Use</w:t>
      </w:r>
      <w:proofErr w:type="spellEnd"/>
      <w:r w:rsidR="00F17B2F" w:rsidRPr="00F17B2F">
        <w:rPr>
          <w:rFonts w:ascii="Arial" w:hAnsi="Arial" w:cs="Arial"/>
          <w:sz w:val="20"/>
          <w:szCs w:val="20"/>
          <w:lang w:val="de-DE"/>
        </w:rPr>
        <w:t>-Modelle</w:t>
      </w:r>
      <w:r w:rsidR="00F17B2F">
        <w:rPr>
          <w:rFonts w:ascii="Arial" w:hAnsi="Arial" w:cs="Arial"/>
          <w:sz w:val="20"/>
          <w:szCs w:val="20"/>
          <w:lang w:val="de-DE"/>
        </w:rPr>
        <w:t>)</w:t>
      </w:r>
      <w:r w:rsidRPr="00C84A1D">
        <w:rPr>
          <w:rFonts w:ascii="Arial" w:hAnsi="Arial" w:cs="Arial"/>
          <w:sz w:val="20"/>
          <w:szCs w:val="20"/>
          <w:lang w:val="de-DE"/>
        </w:rPr>
        <w:t xml:space="preserve">, Telemedizin, Diagnosetools </w:t>
      </w:r>
      <w:r>
        <w:rPr>
          <w:rFonts w:ascii="Arial" w:hAnsi="Arial" w:cs="Arial"/>
          <w:sz w:val="20"/>
          <w:szCs w:val="20"/>
          <w:lang w:val="de-DE"/>
        </w:rPr>
        <w:t xml:space="preserve">und </w:t>
      </w:r>
      <w:r w:rsidRPr="00C84A1D">
        <w:rPr>
          <w:rFonts w:ascii="Arial" w:hAnsi="Arial" w:cs="Arial"/>
          <w:sz w:val="20"/>
          <w:szCs w:val="20"/>
          <w:lang w:val="de-DE"/>
        </w:rPr>
        <w:t>die Digitalisierung des Vertriebs</w:t>
      </w:r>
      <w:r>
        <w:rPr>
          <w:rFonts w:ascii="Arial" w:hAnsi="Arial" w:cs="Arial"/>
          <w:sz w:val="20"/>
          <w:szCs w:val="20"/>
          <w:lang w:val="de-DE"/>
        </w:rPr>
        <w:t>.</w:t>
      </w:r>
    </w:p>
    <w:p w14:paraId="03554292" w14:textId="77777777" w:rsidR="00AD5234" w:rsidRDefault="00AD5234" w:rsidP="00AD5234">
      <w:pPr>
        <w:pStyle w:val="Listenabsatz"/>
        <w:spacing w:after="0" w:line="240" w:lineRule="auto"/>
        <w:jc w:val="both"/>
        <w:rPr>
          <w:rFonts w:ascii="Arial" w:hAnsi="Arial" w:cs="Arial"/>
          <w:bCs/>
          <w:sz w:val="20"/>
          <w:szCs w:val="20"/>
          <w:shd w:val="clear" w:color="auto" w:fill="FFFFFF"/>
          <w:lang w:val="de-DE"/>
        </w:rPr>
      </w:pPr>
    </w:p>
    <w:p w14:paraId="78E77D0E" w14:textId="77777777" w:rsidR="00AD5234" w:rsidRPr="00C84A1D" w:rsidRDefault="00AD5234" w:rsidP="00AD5234">
      <w:pPr>
        <w:pStyle w:val="Listenabsatz"/>
        <w:spacing w:after="0" w:line="240" w:lineRule="auto"/>
        <w:jc w:val="both"/>
        <w:rPr>
          <w:rFonts w:ascii="Arial" w:hAnsi="Arial" w:cs="Arial"/>
          <w:bCs/>
          <w:sz w:val="20"/>
          <w:szCs w:val="20"/>
          <w:shd w:val="clear" w:color="auto" w:fill="FFFFFF"/>
          <w:lang w:val="de-DE"/>
        </w:rPr>
      </w:pPr>
    </w:p>
    <w:p w14:paraId="63B56DC2" w14:textId="240DEB14" w:rsidR="00AD5234" w:rsidRPr="00AD5234" w:rsidRDefault="00192E5B" w:rsidP="00AD5234">
      <w:pPr>
        <w:pStyle w:val="Default"/>
        <w:rPr>
          <w:rFonts w:ascii="Arial" w:hAnsi="Arial" w:cs="Arial"/>
          <w:color w:val="000000" w:themeColor="text1"/>
          <w:sz w:val="20"/>
          <w:szCs w:val="20"/>
          <w:lang w:val="de-DE"/>
        </w:rPr>
      </w:pPr>
      <w:r>
        <w:rPr>
          <w:rFonts w:ascii="Arial" w:hAnsi="Arial" w:cs="Arial"/>
          <w:b/>
          <w:bCs/>
          <w:color w:val="000000" w:themeColor="text1"/>
          <w:sz w:val="20"/>
          <w:szCs w:val="20"/>
          <w:lang w:val="de-DE"/>
        </w:rPr>
        <w:t>München</w:t>
      </w:r>
      <w:r w:rsidR="00AD5234" w:rsidRPr="00AD5234">
        <w:rPr>
          <w:rFonts w:ascii="Arial" w:hAnsi="Arial" w:cs="Arial"/>
          <w:color w:val="000000" w:themeColor="text1"/>
          <w:sz w:val="20"/>
          <w:szCs w:val="20"/>
          <w:lang w:val="de-DE"/>
        </w:rPr>
        <w:t xml:space="preserve">, </w:t>
      </w:r>
      <w:r w:rsidR="00D0677D" w:rsidRPr="00D0677D">
        <w:rPr>
          <w:rFonts w:ascii="Arial" w:hAnsi="Arial" w:cs="Arial"/>
          <w:b/>
          <w:color w:val="000000" w:themeColor="text1"/>
          <w:sz w:val="20"/>
          <w:szCs w:val="20"/>
          <w:lang w:val="de-DE"/>
        </w:rPr>
        <w:t>27</w:t>
      </w:r>
      <w:r w:rsidR="00AD5234" w:rsidRPr="00AD5234">
        <w:rPr>
          <w:rFonts w:ascii="Arial" w:hAnsi="Arial" w:cs="Arial"/>
          <w:b/>
          <w:bCs/>
          <w:color w:val="000000" w:themeColor="text1"/>
          <w:sz w:val="20"/>
          <w:szCs w:val="20"/>
          <w:lang w:val="de-DE"/>
        </w:rPr>
        <w:t>. Mai 2021</w:t>
      </w:r>
      <w:r w:rsidR="00AD5234" w:rsidRPr="00AD5234">
        <w:rPr>
          <w:rFonts w:ascii="Arial" w:hAnsi="Arial" w:cs="Arial"/>
          <w:color w:val="000000" w:themeColor="text1"/>
          <w:sz w:val="20"/>
          <w:szCs w:val="20"/>
          <w:lang w:val="de-DE"/>
        </w:rPr>
        <w:t xml:space="preserve"> – </w:t>
      </w:r>
      <w:hyperlink r:id="rId7" w:history="1">
        <w:r w:rsidR="00AD5234" w:rsidRPr="005F410F">
          <w:rPr>
            <w:rStyle w:val="Hyperlink"/>
            <w:rFonts w:ascii="Arial" w:hAnsi="Arial" w:cs="Arial"/>
            <w:sz w:val="20"/>
            <w:szCs w:val="20"/>
            <w:lang w:val="de-DE"/>
          </w:rPr>
          <w:t>NTT DATA</w:t>
        </w:r>
      </w:hyperlink>
      <w:r w:rsidR="00B21932" w:rsidRPr="005F410F">
        <w:rPr>
          <w:rFonts w:ascii="Arial" w:hAnsi="Arial" w:cs="Arial"/>
          <w:sz w:val="20"/>
          <w:szCs w:val="20"/>
          <w:lang w:val="de-DE"/>
        </w:rPr>
        <w:t xml:space="preserve">, </w:t>
      </w:r>
      <w:r w:rsidR="00B21932" w:rsidRPr="005F410F">
        <w:rPr>
          <w:rFonts w:ascii="Arial" w:hAnsi="Arial" w:cs="Arial"/>
          <w:sz w:val="20"/>
          <w:szCs w:val="20"/>
          <w:lang w:val="de-AT"/>
        </w:rPr>
        <w:t>ein globaler Marktführer für digitale Geschäfts- und IT-Dienstleistungen</w:t>
      </w:r>
      <w:r w:rsidR="00B21932" w:rsidRPr="005F410F">
        <w:rPr>
          <w:rFonts w:ascii="Arial" w:hAnsi="Arial" w:cs="Arial"/>
          <w:color w:val="000000" w:themeColor="text1"/>
          <w:sz w:val="20"/>
          <w:szCs w:val="20"/>
          <w:lang w:val="de-DE"/>
        </w:rPr>
        <w:t xml:space="preserve">, </w:t>
      </w:r>
      <w:r w:rsidR="00AD5234" w:rsidRPr="00AD5234">
        <w:rPr>
          <w:rFonts w:ascii="Arial" w:hAnsi="Arial" w:cs="Arial"/>
          <w:color w:val="000000" w:themeColor="text1"/>
          <w:sz w:val="20"/>
          <w:szCs w:val="20"/>
          <w:lang w:val="de-DE"/>
        </w:rPr>
        <w:t xml:space="preserve">hat die </w:t>
      </w:r>
      <w:r w:rsidR="007F149D">
        <w:rPr>
          <w:rFonts w:ascii="Arial" w:hAnsi="Arial" w:cs="Arial"/>
          <w:color w:val="000000" w:themeColor="text1"/>
          <w:sz w:val="20"/>
          <w:szCs w:val="20"/>
          <w:lang w:val="de-DE"/>
        </w:rPr>
        <w:t>aktuelle</w:t>
      </w:r>
      <w:r w:rsidR="007F149D" w:rsidRPr="00AD5234">
        <w:rPr>
          <w:rFonts w:ascii="Arial" w:hAnsi="Arial" w:cs="Arial"/>
          <w:color w:val="000000" w:themeColor="text1"/>
          <w:sz w:val="20"/>
          <w:szCs w:val="20"/>
          <w:lang w:val="de-DE"/>
        </w:rPr>
        <w:t xml:space="preserve"> </w:t>
      </w:r>
      <w:r w:rsidR="00AD5234" w:rsidRPr="00AD5234">
        <w:rPr>
          <w:rFonts w:ascii="Arial" w:hAnsi="Arial" w:cs="Arial"/>
          <w:color w:val="000000" w:themeColor="text1"/>
          <w:sz w:val="20"/>
          <w:szCs w:val="20"/>
          <w:lang w:val="de-DE"/>
        </w:rPr>
        <w:t>Ausgabe seine</w:t>
      </w:r>
      <w:r w:rsidR="00BA16FF">
        <w:rPr>
          <w:rFonts w:ascii="Arial" w:hAnsi="Arial" w:cs="Arial"/>
          <w:color w:val="000000" w:themeColor="text1"/>
          <w:sz w:val="20"/>
          <w:szCs w:val="20"/>
          <w:lang w:val="de-DE"/>
        </w:rPr>
        <w:t>r</w:t>
      </w:r>
      <w:r w:rsidR="00AD5234" w:rsidRPr="00AD5234">
        <w:rPr>
          <w:rFonts w:ascii="Arial" w:hAnsi="Arial" w:cs="Arial"/>
          <w:color w:val="000000" w:themeColor="text1"/>
          <w:sz w:val="20"/>
          <w:szCs w:val="20"/>
          <w:lang w:val="de-DE"/>
        </w:rPr>
        <w:t xml:space="preserve"> </w:t>
      </w:r>
      <w:r w:rsidR="00BA16FF">
        <w:rPr>
          <w:rFonts w:ascii="Arial" w:hAnsi="Arial" w:cs="Arial"/>
          <w:color w:val="000000" w:themeColor="text1"/>
          <w:sz w:val="20"/>
          <w:szCs w:val="20"/>
          <w:lang w:val="de-DE"/>
        </w:rPr>
        <w:t>Studie</w:t>
      </w:r>
      <w:r w:rsidR="00AD5234" w:rsidRPr="00AD5234">
        <w:rPr>
          <w:rFonts w:ascii="Arial" w:hAnsi="Arial" w:cs="Arial"/>
          <w:color w:val="000000" w:themeColor="text1"/>
          <w:sz w:val="20"/>
          <w:szCs w:val="20"/>
          <w:lang w:val="de-DE"/>
        </w:rPr>
        <w:t xml:space="preserve"> </w:t>
      </w:r>
      <w:proofErr w:type="spellStart"/>
      <w:r w:rsidR="00AD5234" w:rsidRPr="00AD5234">
        <w:rPr>
          <w:rFonts w:ascii="Arial" w:hAnsi="Arial" w:cs="Arial"/>
          <w:color w:val="000000" w:themeColor="text1"/>
          <w:sz w:val="20"/>
          <w:szCs w:val="20"/>
          <w:lang w:val="de-DE"/>
        </w:rPr>
        <w:t>Insurtech</w:t>
      </w:r>
      <w:proofErr w:type="spellEnd"/>
      <w:r w:rsidR="00AD5234" w:rsidRPr="00AD5234">
        <w:rPr>
          <w:rFonts w:ascii="Arial" w:hAnsi="Arial" w:cs="Arial"/>
          <w:color w:val="000000" w:themeColor="text1"/>
          <w:sz w:val="20"/>
          <w:szCs w:val="20"/>
          <w:lang w:val="de-DE"/>
        </w:rPr>
        <w:t xml:space="preserve"> Global Outlook 2021 vorgestellt. Die Studie analysiert die wichtigsten Trends im </w:t>
      </w:r>
      <w:proofErr w:type="spellStart"/>
      <w:r w:rsidR="00AD5234" w:rsidRPr="00AD5234">
        <w:rPr>
          <w:rFonts w:ascii="Arial" w:hAnsi="Arial" w:cs="Arial"/>
          <w:color w:val="000000" w:themeColor="text1"/>
          <w:sz w:val="20"/>
          <w:szCs w:val="20"/>
          <w:lang w:val="de-DE"/>
        </w:rPr>
        <w:t>Insurtech</w:t>
      </w:r>
      <w:proofErr w:type="spellEnd"/>
      <w:r w:rsidR="00AD5234" w:rsidRPr="00AD5234">
        <w:rPr>
          <w:rFonts w:ascii="Arial" w:hAnsi="Arial" w:cs="Arial"/>
          <w:color w:val="000000" w:themeColor="text1"/>
          <w:sz w:val="20"/>
          <w:szCs w:val="20"/>
          <w:lang w:val="de-DE"/>
        </w:rPr>
        <w:t>-Ökosystem und den Einfluss, den fortschrittliche Technologien und neue Geschäftsmodelle im Jahr 2020 hatten.</w:t>
      </w:r>
    </w:p>
    <w:p w14:paraId="42409CFE" w14:textId="77777777" w:rsidR="00AD5234" w:rsidRPr="00AD5234" w:rsidRDefault="00AD5234" w:rsidP="00AD5234">
      <w:pPr>
        <w:pStyle w:val="Default"/>
        <w:rPr>
          <w:rFonts w:ascii="Arial" w:hAnsi="Arial" w:cs="Arial"/>
          <w:color w:val="000000" w:themeColor="text1"/>
          <w:sz w:val="20"/>
          <w:szCs w:val="20"/>
          <w:lang w:val="de-DE"/>
        </w:rPr>
      </w:pPr>
    </w:p>
    <w:p w14:paraId="498D1E42" w14:textId="47350819" w:rsidR="00AD5234" w:rsidRPr="00AD5234" w:rsidRDefault="00AD5234" w:rsidP="00AD5234">
      <w:pPr>
        <w:pStyle w:val="Default"/>
        <w:rPr>
          <w:rFonts w:ascii="Arial" w:hAnsi="Arial" w:cs="Arial"/>
          <w:color w:val="000000" w:themeColor="text1"/>
          <w:sz w:val="20"/>
          <w:szCs w:val="20"/>
          <w:lang w:val="de-DE"/>
        </w:rPr>
      </w:pPr>
      <w:r w:rsidRPr="00937D12">
        <w:rPr>
          <w:rFonts w:ascii="Arial" w:hAnsi="Arial" w:cs="Arial"/>
          <w:color w:val="000000" w:themeColor="text1"/>
          <w:sz w:val="20"/>
          <w:szCs w:val="20"/>
          <w:lang w:val="de-DE"/>
        </w:rPr>
        <w:t xml:space="preserve">Die Studie geht auf unterschiedliche Themen wie die von </w:t>
      </w:r>
      <w:proofErr w:type="spellStart"/>
      <w:r w:rsidRPr="00937D12">
        <w:rPr>
          <w:rFonts w:ascii="Arial" w:hAnsi="Arial" w:cs="Arial"/>
          <w:color w:val="000000" w:themeColor="text1"/>
          <w:sz w:val="20"/>
          <w:szCs w:val="20"/>
          <w:lang w:val="de-DE"/>
        </w:rPr>
        <w:t>Insurtechs</w:t>
      </w:r>
      <w:proofErr w:type="spellEnd"/>
      <w:r w:rsidRPr="00937D12">
        <w:rPr>
          <w:rFonts w:ascii="Arial" w:hAnsi="Arial" w:cs="Arial"/>
          <w:color w:val="000000" w:themeColor="text1"/>
          <w:sz w:val="20"/>
          <w:szCs w:val="20"/>
          <w:lang w:val="de-DE"/>
        </w:rPr>
        <w:t xml:space="preserve"> erhaltenen Investitionen nach Region, Sparten und Technologieinvestitionen</w:t>
      </w:r>
      <w:r w:rsidR="00192E5B" w:rsidRPr="00937D12">
        <w:rPr>
          <w:rFonts w:ascii="Arial" w:hAnsi="Arial" w:cs="Arial"/>
          <w:color w:val="000000" w:themeColor="text1"/>
          <w:sz w:val="20"/>
          <w:szCs w:val="20"/>
          <w:lang w:val="de-DE"/>
        </w:rPr>
        <w:t xml:space="preserve"> detailliert ein</w:t>
      </w:r>
      <w:r w:rsidRPr="00937D12">
        <w:rPr>
          <w:rFonts w:ascii="Arial" w:hAnsi="Arial" w:cs="Arial"/>
          <w:color w:val="000000" w:themeColor="text1"/>
          <w:sz w:val="20"/>
          <w:szCs w:val="20"/>
          <w:lang w:val="de-DE"/>
        </w:rPr>
        <w:t xml:space="preserve">. Außerdem wird analysiert, in welche Unternehmen die Versicherer investiert haben, wie sich diese Investitionen auf verschiedene Bereiche der Versicherungswertschöpfungskette verteilen, sowie die wichtigsten </w:t>
      </w:r>
      <w:r w:rsidR="00160B41" w:rsidRPr="001C35D6">
        <w:rPr>
          <w:rFonts w:ascii="Arial" w:hAnsi="Arial" w:cs="Arial"/>
          <w:color w:val="000000" w:themeColor="text1"/>
          <w:sz w:val="20"/>
          <w:szCs w:val="20"/>
          <w:lang w:val="de-DE"/>
        </w:rPr>
        <w:t>Entwicklungen</w:t>
      </w:r>
      <w:r w:rsidR="00160B41" w:rsidRPr="00937D12">
        <w:rPr>
          <w:rFonts w:ascii="Arial" w:hAnsi="Arial" w:cs="Arial"/>
          <w:color w:val="000000" w:themeColor="text1"/>
          <w:sz w:val="20"/>
          <w:szCs w:val="20"/>
          <w:lang w:val="de-DE"/>
        </w:rPr>
        <w:t xml:space="preserve"> </w:t>
      </w:r>
      <w:r w:rsidRPr="00937D12">
        <w:rPr>
          <w:rFonts w:ascii="Arial" w:hAnsi="Arial" w:cs="Arial"/>
          <w:color w:val="000000" w:themeColor="text1"/>
          <w:sz w:val="20"/>
          <w:szCs w:val="20"/>
          <w:lang w:val="de-DE"/>
        </w:rPr>
        <w:t xml:space="preserve">in Bezug auf die </w:t>
      </w:r>
      <w:r w:rsidR="00160B41" w:rsidRPr="001C35D6">
        <w:rPr>
          <w:rFonts w:ascii="Arial" w:hAnsi="Arial" w:cs="Arial"/>
          <w:color w:val="000000" w:themeColor="text1"/>
          <w:sz w:val="20"/>
          <w:szCs w:val="20"/>
          <w:lang w:val="de-DE"/>
        </w:rPr>
        <w:t xml:space="preserve">sich etablierenden </w:t>
      </w:r>
      <w:r w:rsidRPr="00937D12">
        <w:rPr>
          <w:rFonts w:ascii="Arial" w:hAnsi="Arial" w:cs="Arial"/>
          <w:color w:val="000000" w:themeColor="text1"/>
          <w:sz w:val="20"/>
          <w:szCs w:val="20"/>
          <w:lang w:val="de-DE"/>
        </w:rPr>
        <w:t>Ökosysteme</w:t>
      </w:r>
      <w:r w:rsidR="00160B41" w:rsidRPr="001C35D6">
        <w:rPr>
          <w:rFonts w:ascii="Arial" w:hAnsi="Arial" w:cs="Arial"/>
          <w:color w:val="000000" w:themeColor="text1"/>
          <w:sz w:val="20"/>
          <w:szCs w:val="20"/>
          <w:lang w:val="de-DE"/>
        </w:rPr>
        <w:t>, in denen</w:t>
      </w:r>
      <w:r w:rsidRPr="00937D12">
        <w:rPr>
          <w:rFonts w:ascii="Arial" w:hAnsi="Arial" w:cs="Arial"/>
          <w:color w:val="000000" w:themeColor="text1"/>
          <w:sz w:val="20"/>
          <w:szCs w:val="20"/>
          <w:lang w:val="de-DE"/>
        </w:rPr>
        <w:t xml:space="preserve"> </w:t>
      </w:r>
      <w:r w:rsidR="00160B41" w:rsidRPr="001C35D6">
        <w:rPr>
          <w:rFonts w:ascii="Arial" w:hAnsi="Arial" w:cs="Arial"/>
          <w:color w:val="000000" w:themeColor="text1"/>
          <w:sz w:val="20"/>
          <w:szCs w:val="20"/>
          <w:lang w:val="de-DE"/>
        </w:rPr>
        <w:t xml:space="preserve">sich </w:t>
      </w:r>
      <w:r w:rsidRPr="00937D12">
        <w:rPr>
          <w:rFonts w:ascii="Arial" w:hAnsi="Arial" w:cs="Arial"/>
          <w:color w:val="000000" w:themeColor="text1"/>
          <w:sz w:val="20"/>
          <w:szCs w:val="20"/>
          <w:lang w:val="de-DE"/>
        </w:rPr>
        <w:t>Versicherer</w:t>
      </w:r>
      <w:r w:rsidR="00D0677D">
        <w:rPr>
          <w:rFonts w:ascii="Arial" w:hAnsi="Arial" w:cs="Arial"/>
          <w:color w:val="000000" w:themeColor="text1"/>
          <w:sz w:val="20"/>
          <w:szCs w:val="20"/>
          <w:lang w:val="de-DE"/>
        </w:rPr>
        <w:t xml:space="preserve"> engagieren (i</w:t>
      </w:r>
      <w:r w:rsidR="00160B41" w:rsidRPr="001C35D6">
        <w:rPr>
          <w:rFonts w:ascii="Arial" w:hAnsi="Arial" w:cs="Arial"/>
          <w:color w:val="000000" w:themeColor="text1"/>
          <w:sz w:val="20"/>
          <w:szCs w:val="20"/>
          <w:lang w:val="de-DE"/>
        </w:rPr>
        <w:t>nsbesondere „Smart Mobility</w:t>
      </w:r>
      <w:r w:rsidR="0059368A" w:rsidRPr="001C35D6">
        <w:rPr>
          <w:rFonts w:ascii="Arial" w:hAnsi="Arial" w:cs="Arial"/>
          <w:color w:val="000000" w:themeColor="text1"/>
          <w:sz w:val="20"/>
          <w:szCs w:val="20"/>
          <w:lang w:val="de-DE"/>
        </w:rPr>
        <w:t>“</w:t>
      </w:r>
      <w:r w:rsidR="00160B41" w:rsidRPr="001C35D6">
        <w:rPr>
          <w:rFonts w:ascii="Arial" w:hAnsi="Arial" w:cs="Arial"/>
          <w:color w:val="000000" w:themeColor="text1"/>
          <w:sz w:val="20"/>
          <w:szCs w:val="20"/>
          <w:lang w:val="de-DE"/>
        </w:rPr>
        <w:t>,</w:t>
      </w:r>
      <w:r w:rsidR="0059368A" w:rsidRPr="001C35D6">
        <w:rPr>
          <w:rFonts w:ascii="Arial" w:hAnsi="Arial" w:cs="Arial"/>
          <w:color w:val="000000" w:themeColor="text1"/>
          <w:sz w:val="20"/>
          <w:szCs w:val="20"/>
          <w:lang w:val="de-DE"/>
        </w:rPr>
        <w:t xml:space="preserve"> „</w:t>
      </w:r>
      <w:proofErr w:type="spellStart"/>
      <w:r w:rsidR="0059368A" w:rsidRPr="001C35D6">
        <w:rPr>
          <w:rFonts w:ascii="Arial" w:hAnsi="Arial" w:cs="Arial"/>
          <w:color w:val="000000" w:themeColor="text1"/>
          <w:sz w:val="20"/>
          <w:szCs w:val="20"/>
          <w:lang w:val="de-DE"/>
        </w:rPr>
        <w:t>Healthy</w:t>
      </w:r>
      <w:proofErr w:type="spellEnd"/>
      <w:r w:rsidR="0059368A" w:rsidRPr="001C35D6">
        <w:rPr>
          <w:rFonts w:ascii="Arial" w:hAnsi="Arial" w:cs="Arial"/>
          <w:color w:val="000000" w:themeColor="text1"/>
          <w:sz w:val="20"/>
          <w:szCs w:val="20"/>
          <w:lang w:val="de-DE"/>
        </w:rPr>
        <w:t xml:space="preserve"> Living“, „Smart Home“ und „Smart Enterprise“ für Unternehmen</w:t>
      </w:r>
      <w:r w:rsidR="00D0677D">
        <w:rPr>
          <w:rFonts w:ascii="Arial" w:hAnsi="Arial" w:cs="Arial"/>
          <w:color w:val="000000" w:themeColor="text1"/>
          <w:sz w:val="20"/>
          <w:szCs w:val="20"/>
          <w:lang w:val="de-DE"/>
        </w:rPr>
        <w:t>)</w:t>
      </w:r>
      <w:r w:rsidR="0059368A" w:rsidRPr="001C35D6">
        <w:rPr>
          <w:rFonts w:ascii="Arial" w:hAnsi="Arial" w:cs="Arial"/>
          <w:color w:val="000000" w:themeColor="text1"/>
          <w:sz w:val="20"/>
          <w:szCs w:val="20"/>
          <w:lang w:val="de-DE"/>
        </w:rPr>
        <w:t>.</w:t>
      </w:r>
    </w:p>
    <w:p w14:paraId="45CE956E" w14:textId="77777777" w:rsidR="00AD5234" w:rsidRPr="00AD5234" w:rsidRDefault="00AD5234" w:rsidP="00AD5234">
      <w:pPr>
        <w:pStyle w:val="Default"/>
        <w:rPr>
          <w:rFonts w:ascii="Arial" w:hAnsi="Arial" w:cs="Arial"/>
          <w:color w:val="000000" w:themeColor="text1"/>
          <w:sz w:val="20"/>
          <w:szCs w:val="20"/>
          <w:lang w:val="de-DE"/>
        </w:rPr>
      </w:pPr>
    </w:p>
    <w:p w14:paraId="2147736E" w14:textId="6D97CAEB"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Die Ergebnisse de</w:t>
      </w:r>
      <w:r w:rsidR="00BA16FF">
        <w:rPr>
          <w:rFonts w:ascii="Arial" w:hAnsi="Arial" w:cs="Arial"/>
          <w:color w:val="000000" w:themeColor="text1"/>
          <w:sz w:val="20"/>
          <w:szCs w:val="20"/>
          <w:lang w:val="de-DE"/>
        </w:rPr>
        <w:t>r</w:t>
      </w:r>
      <w:r w:rsidRPr="00AD5234">
        <w:rPr>
          <w:rFonts w:ascii="Arial" w:hAnsi="Arial" w:cs="Arial"/>
          <w:color w:val="000000" w:themeColor="text1"/>
          <w:sz w:val="20"/>
          <w:szCs w:val="20"/>
          <w:lang w:val="de-DE"/>
        </w:rPr>
        <w:t xml:space="preserve"> </w:t>
      </w:r>
      <w:r w:rsidR="00BA16FF">
        <w:rPr>
          <w:rFonts w:ascii="Arial" w:hAnsi="Arial" w:cs="Arial"/>
          <w:color w:val="000000" w:themeColor="text1"/>
          <w:sz w:val="20"/>
          <w:szCs w:val="20"/>
          <w:lang w:val="de-DE"/>
        </w:rPr>
        <w:t>Studie</w:t>
      </w:r>
      <w:r w:rsidRPr="00AD5234">
        <w:rPr>
          <w:rFonts w:ascii="Arial" w:hAnsi="Arial" w:cs="Arial"/>
          <w:color w:val="000000" w:themeColor="text1"/>
          <w:sz w:val="20"/>
          <w:szCs w:val="20"/>
          <w:lang w:val="de-DE"/>
        </w:rPr>
        <w:t xml:space="preserve"> zeigen, dass 2020 ein Jahr war, in dem sowohl Versicherer als auch </w:t>
      </w:r>
      <w:proofErr w:type="spellStart"/>
      <w:r w:rsidRPr="00AD5234">
        <w:rPr>
          <w:rFonts w:ascii="Arial" w:hAnsi="Arial" w:cs="Arial"/>
          <w:color w:val="000000" w:themeColor="text1"/>
          <w:sz w:val="20"/>
          <w:szCs w:val="20"/>
          <w:lang w:val="de-DE"/>
        </w:rPr>
        <w:t>Insurtechs</w:t>
      </w:r>
      <w:proofErr w:type="spellEnd"/>
      <w:r w:rsidRPr="00AD5234">
        <w:rPr>
          <w:rFonts w:ascii="Arial" w:hAnsi="Arial" w:cs="Arial"/>
          <w:color w:val="000000" w:themeColor="text1"/>
          <w:sz w:val="20"/>
          <w:szCs w:val="20"/>
          <w:lang w:val="de-DE"/>
        </w:rPr>
        <w:t xml:space="preserve"> die Folgen von COVID-19 auf sehr agile und </w:t>
      </w:r>
      <w:r w:rsidR="00D37436">
        <w:rPr>
          <w:rFonts w:ascii="Arial" w:hAnsi="Arial" w:cs="Arial"/>
          <w:color w:val="000000" w:themeColor="text1"/>
          <w:sz w:val="20"/>
          <w:szCs w:val="20"/>
          <w:lang w:val="de-DE"/>
        </w:rPr>
        <w:t xml:space="preserve">innovative </w:t>
      </w:r>
      <w:r w:rsidRPr="00AD5234">
        <w:rPr>
          <w:rFonts w:ascii="Arial" w:hAnsi="Arial" w:cs="Arial"/>
          <w:color w:val="000000" w:themeColor="text1"/>
          <w:sz w:val="20"/>
          <w:szCs w:val="20"/>
          <w:lang w:val="de-DE"/>
        </w:rPr>
        <w:t xml:space="preserve">Weise abgemildert haben. Sie </w:t>
      </w:r>
      <w:r w:rsidR="0059368A">
        <w:rPr>
          <w:rFonts w:ascii="Arial" w:hAnsi="Arial" w:cs="Arial"/>
          <w:color w:val="000000" w:themeColor="text1"/>
          <w:sz w:val="20"/>
          <w:szCs w:val="20"/>
          <w:lang w:val="de-DE"/>
        </w:rPr>
        <w:t>kommt sogar zu</w:t>
      </w:r>
      <w:r w:rsidR="00D37436">
        <w:rPr>
          <w:rFonts w:ascii="Arial" w:hAnsi="Arial" w:cs="Arial"/>
          <w:color w:val="000000" w:themeColor="text1"/>
          <w:sz w:val="20"/>
          <w:szCs w:val="20"/>
          <w:lang w:val="de-DE"/>
        </w:rPr>
        <w:t xml:space="preserve"> de</w:t>
      </w:r>
      <w:r w:rsidR="0059368A">
        <w:rPr>
          <w:rFonts w:ascii="Arial" w:hAnsi="Arial" w:cs="Arial"/>
          <w:color w:val="000000" w:themeColor="text1"/>
          <w:sz w:val="20"/>
          <w:szCs w:val="20"/>
          <w:lang w:val="de-DE"/>
        </w:rPr>
        <w:t>m Schluss</w:t>
      </w:r>
      <w:r w:rsidRPr="00AD5234">
        <w:rPr>
          <w:rFonts w:ascii="Arial" w:hAnsi="Arial" w:cs="Arial"/>
          <w:color w:val="000000" w:themeColor="text1"/>
          <w:sz w:val="20"/>
          <w:szCs w:val="20"/>
          <w:lang w:val="de-DE"/>
        </w:rPr>
        <w:t xml:space="preserve">, dass </w:t>
      </w:r>
      <w:r w:rsidR="0059368A">
        <w:rPr>
          <w:rFonts w:ascii="Arial" w:hAnsi="Arial" w:cs="Arial"/>
          <w:color w:val="000000" w:themeColor="text1"/>
          <w:sz w:val="20"/>
          <w:szCs w:val="20"/>
          <w:lang w:val="de-DE"/>
        </w:rPr>
        <w:t xml:space="preserve">sowohl viele etablierte Versicherer als auch </w:t>
      </w:r>
      <w:proofErr w:type="spellStart"/>
      <w:r w:rsidR="0059368A">
        <w:rPr>
          <w:rFonts w:ascii="Arial" w:hAnsi="Arial" w:cs="Arial"/>
          <w:color w:val="000000" w:themeColor="text1"/>
          <w:sz w:val="20"/>
          <w:szCs w:val="20"/>
          <w:lang w:val="de-DE"/>
        </w:rPr>
        <w:t>Insurtechs</w:t>
      </w:r>
      <w:proofErr w:type="spellEnd"/>
      <w:r w:rsidR="0059368A">
        <w:rPr>
          <w:rFonts w:ascii="Arial" w:hAnsi="Arial" w:cs="Arial"/>
          <w:color w:val="000000" w:themeColor="text1"/>
          <w:sz w:val="20"/>
          <w:szCs w:val="20"/>
          <w:lang w:val="de-DE"/>
        </w:rPr>
        <w:t xml:space="preserve"> selbst </w:t>
      </w:r>
      <w:r w:rsidRPr="00AD5234">
        <w:rPr>
          <w:rFonts w:ascii="Arial" w:hAnsi="Arial" w:cs="Arial"/>
          <w:color w:val="000000" w:themeColor="text1"/>
          <w:sz w:val="20"/>
          <w:szCs w:val="20"/>
          <w:lang w:val="de-DE"/>
        </w:rPr>
        <w:t xml:space="preserve">die Situation als weiteren Beschleuniger in ihren </w:t>
      </w:r>
      <w:r w:rsidR="0059368A">
        <w:rPr>
          <w:rFonts w:ascii="Arial" w:hAnsi="Arial" w:cs="Arial"/>
          <w:color w:val="000000" w:themeColor="text1"/>
          <w:sz w:val="20"/>
          <w:szCs w:val="20"/>
          <w:lang w:val="de-DE"/>
        </w:rPr>
        <w:t xml:space="preserve">digitalen </w:t>
      </w:r>
      <w:r w:rsidR="00B42C03">
        <w:rPr>
          <w:rFonts w:ascii="Arial" w:hAnsi="Arial" w:cs="Arial"/>
          <w:color w:val="000000" w:themeColor="text1"/>
          <w:sz w:val="20"/>
          <w:szCs w:val="20"/>
          <w:lang w:val="de-DE"/>
        </w:rPr>
        <w:t>T</w:t>
      </w:r>
      <w:r w:rsidR="0059368A">
        <w:rPr>
          <w:rFonts w:ascii="Arial" w:hAnsi="Arial" w:cs="Arial"/>
          <w:color w:val="000000" w:themeColor="text1"/>
          <w:sz w:val="20"/>
          <w:szCs w:val="20"/>
          <w:lang w:val="de-DE"/>
        </w:rPr>
        <w:t>ransformations</w:t>
      </w:r>
      <w:r w:rsidRPr="00AD5234">
        <w:rPr>
          <w:rFonts w:ascii="Arial" w:hAnsi="Arial" w:cs="Arial"/>
          <w:color w:val="000000" w:themeColor="text1"/>
          <w:sz w:val="20"/>
          <w:szCs w:val="20"/>
          <w:lang w:val="de-DE"/>
        </w:rPr>
        <w:t>prozessen nutzen</w:t>
      </w:r>
      <w:r w:rsidR="0059368A">
        <w:rPr>
          <w:rFonts w:ascii="Arial" w:hAnsi="Arial" w:cs="Arial"/>
          <w:color w:val="000000" w:themeColor="text1"/>
          <w:sz w:val="20"/>
          <w:szCs w:val="20"/>
          <w:lang w:val="de-DE"/>
        </w:rPr>
        <w:t xml:space="preserve"> konnten</w:t>
      </w:r>
      <w:r w:rsidRPr="00AD5234">
        <w:rPr>
          <w:rFonts w:ascii="Arial" w:hAnsi="Arial" w:cs="Arial"/>
          <w:color w:val="000000" w:themeColor="text1"/>
          <w:sz w:val="20"/>
          <w:szCs w:val="20"/>
          <w:lang w:val="de-DE"/>
        </w:rPr>
        <w:t>.</w:t>
      </w:r>
    </w:p>
    <w:p w14:paraId="06CAE5D2" w14:textId="77777777" w:rsidR="00AD5234" w:rsidRPr="00AD5234" w:rsidRDefault="00AD5234" w:rsidP="00AD5234">
      <w:pPr>
        <w:pStyle w:val="Default"/>
        <w:rPr>
          <w:rFonts w:ascii="Arial" w:hAnsi="Arial" w:cs="Arial"/>
          <w:color w:val="000000" w:themeColor="text1"/>
          <w:sz w:val="20"/>
          <w:szCs w:val="20"/>
          <w:lang w:val="de-DE"/>
        </w:rPr>
      </w:pPr>
    </w:p>
    <w:p w14:paraId="5EB9360D" w14:textId="0DC3343F" w:rsidR="00F86F32" w:rsidRDefault="00AD5234" w:rsidP="001C35D6">
      <w:pPr>
        <w:rPr>
          <w:rFonts w:ascii="Arial" w:hAnsi="Arial" w:cs="Arial"/>
          <w:sz w:val="20"/>
          <w:szCs w:val="20"/>
          <w:lang w:val="de-DE"/>
        </w:rPr>
      </w:pPr>
      <w:r w:rsidRPr="00AD5234">
        <w:rPr>
          <w:rFonts w:ascii="Arial" w:hAnsi="Arial" w:cs="Arial"/>
          <w:color w:val="000000" w:themeColor="text1"/>
          <w:sz w:val="20"/>
          <w:szCs w:val="20"/>
          <w:lang w:val="de-DE"/>
        </w:rPr>
        <w:t>"</w:t>
      </w:r>
      <w:proofErr w:type="spellStart"/>
      <w:r w:rsidR="00F86F32">
        <w:rPr>
          <w:rFonts w:ascii="Arial" w:hAnsi="Arial" w:cs="Arial"/>
          <w:color w:val="000000" w:themeColor="text1"/>
          <w:sz w:val="20"/>
          <w:szCs w:val="20"/>
          <w:lang w:val="de-DE"/>
        </w:rPr>
        <w:t>Insurtech</w:t>
      </w:r>
      <w:r w:rsidR="00597621">
        <w:rPr>
          <w:rFonts w:ascii="Arial" w:hAnsi="Arial" w:cs="Arial"/>
          <w:color w:val="000000" w:themeColor="text1"/>
          <w:sz w:val="20"/>
          <w:szCs w:val="20"/>
          <w:lang w:val="de-DE"/>
        </w:rPr>
        <w:t>s</w:t>
      </w:r>
      <w:proofErr w:type="spellEnd"/>
      <w:r w:rsidR="0059368A">
        <w:rPr>
          <w:rFonts w:ascii="Arial" w:hAnsi="Arial" w:cs="Arial"/>
          <w:color w:val="000000" w:themeColor="text1"/>
          <w:sz w:val="20"/>
          <w:szCs w:val="20"/>
          <w:lang w:val="de-DE"/>
        </w:rPr>
        <w:t xml:space="preserve"> werden mittlerweile auch von traditionellen</w:t>
      </w:r>
      <w:r w:rsidR="00F86F32">
        <w:rPr>
          <w:rFonts w:ascii="Arial" w:hAnsi="Arial" w:cs="Arial"/>
          <w:color w:val="000000" w:themeColor="text1"/>
          <w:sz w:val="20"/>
          <w:szCs w:val="20"/>
          <w:lang w:val="de-DE"/>
        </w:rPr>
        <w:t xml:space="preserve"> </w:t>
      </w:r>
      <w:r w:rsidR="0059368A" w:rsidRPr="0059368A">
        <w:rPr>
          <w:rFonts w:ascii="Arial" w:hAnsi="Arial" w:cs="Arial"/>
          <w:color w:val="000000" w:themeColor="text1"/>
          <w:sz w:val="20"/>
          <w:szCs w:val="20"/>
          <w:lang w:val="de-DE"/>
        </w:rPr>
        <w:t xml:space="preserve">Versicherungsunternehmen </w:t>
      </w:r>
      <w:r w:rsidR="00F86F32" w:rsidRPr="00AD5234">
        <w:rPr>
          <w:rFonts w:ascii="Arial" w:hAnsi="Arial" w:cs="Arial"/>
          <w:color w:val="000000" w:themeColor="text1"/>
          <w:sz w:val="20"/>
          <w:szCs w:val="20"/>
          <w:lang w:val="de-DE"/>
        </w:rPr>
        <w:t xml:space="preserve">als wertvolles </w:t>
      </w:r>
      <w:r w:rsidR="0059368A">
        <w:rPr>
          <w:rFonts w:ascii="Arial" w:hAnsi="Arial" w:cs="Arial"/>
          <w:color w:val="000000" w:themeColor="text1"/>
          <w:sz w:val="20"/>
          <w:szCs w:val="20"/>
          <w:lang w:val="de-DE"/>
        </w:rPr>
        <w:t>Asset</w:t>
      </w:r>
      <w:r w:rsidR="00F86F32" w:rsidRPr="00AD5234">
        <w:rPr>
          <w:rFonts w:ascii="Arial" w:hAnsi="Arial" w:cs="Arial"/>
          <w:color w:val="000000" w:themeColor="text1"/>
          <w:sz w:val="20"/>
          <w:szCs w:val="20"/>
          <w:lang w:val="de-DE"/>
        </w:rPr>
        <w:t xml:space="preserve"> wahr</w:t>
      </w:r>
      <w:r w:rsidR="0059368A">
        <w:rPr>
          <w:rFonts w:ascii="Arial" w:hAnsi="Arial" w:cs="Arial"/>
          <w:color w:val="000000" w:themeColor="text1"/>
          <w:sz w:val="20"/>
          <w:szCs w:val="20"/>
          <w:lang w:val="de-DE"/>
        </w:rPr>
        <w:t>genommen</w:t>
      </w:r>
      <w:r w:rsidR="00F86F32">
        <w:rPr>
          <w:rFonts w:ascii="Arial" w:hAnsi="Arial" w:cs="Arial"/>
          <w:color w:val="000000" w:themeColor="text1"/>
          <w:sz w:val="20"/>
          <w:szCs w:val="20"/>
          <w:lang w:val="de-DE"/>
        </w:rPr>
        <w:t xml:space="preserve"> und</w:t>
      </w:r>
      <w:r w:rsidR="00F86F32" w:rsidRPr="00AD5234">
        <w:rPr>
          <w:rFonts w:ascii="Arial" w:hAnsi="Arial" w:cs="Arial"/>
          <w:color w:val="000000" w:themeColor="text1"/>
          <w:sz w:val="20"/>
          <w:szCs w:val="20"/>
          <w:lang w:val="de-DE"/>
        </w:rPr>
        <w:t xml:space="preserve"> </w:t>
      </w:r>
      <w:r w:rsidR="0059368A">
        <w:rPr>
          <w:rFonts w:ascii="Arial" w:hAnsi="Arial" w:cs="Arial"/>
          <w:color w:val="000000" w:themeColor="text1"/>
          <w:sz w:val="20"/>
          <w:szCs w:val="20"/>
          <w:lang w:val="de-DE"/>
        </w:rPr>
        <w:t xml:space="preserve">– über Partnerschaften und Integrationen – gezielt genutzt, </w:t>
      </w:r>
      <w:r w:rsidR="004752A5">
        <w:rPr>
          <w:rFonts w:ascii="Arial" w:hAnsi="Arial" w:cs="Arial"/>
          <w:color w:val="000000" w:themeColor="text1"/>
          <w:sz w:val="20"/>
          <w:szCs w:val="20"/>
          <w:lang w:val="de-DE"/>
        </w:rPr>
        <w:t xml:space="preserve">um </w:t>
      </w:r>
      <w:r w:rsidR="0059368A">
        <w:rPr>
          <w:rFonts w:ascii="Arial" w:hAnsi="Arial" w:cs="Arial"/>
          <w:color w:val="000000" w:themeColor="text1"/>
          <w:sz w:val="20"/>
          <w:szCs w:val="20"/>
          <w:lang w:val="de-DE"/>
        </w:rPr>
        <w:t>ihre eigenen Digitalisierungsinitiativen weiter voranzutreiben</w:t>
      </w:r>
      <w:r w:rsidR="00F86F32" w:rsidRPr="00AD5234">
        <w:rPr>
          <w:rFonts w:ascii="Arial" w:hAnsi="Arial" w:cs="Arial"/>
          <w:color w:val="000000" w:themeColor="text1"/>
          <w:sz w:val="20"/>
          <w:szCs w:val="20"/>
          <w:lang w:val="de-DE"/>
        </w:rPr>
        <w:t xml:space="preserve">. </w:t>
      </w:r>
      <w:proofErr w:type="spellStart"/>
      <w:r w:rsidR="0059368A">
        <w:rPr>
          <w:rFonts w:ascii="Arial" w:hAnsi="Arial" w:cs="Arial"/>
          <w:color w:val="000000" w:themeColor="text1"/>
          <w:sz w:val="20"/>
          <w:szCs w:val="20"/>
          <w:lang w:val="de-DE"/>
        </w:rPr>
        <w:t>Insurtechs</w:t>
      </w:r>
      <w:proofErr w:type="spellEnd"/>
      <w:r w:rsidR="0059368A">
        <w:rPr>
          <w:rFonts w:ascii="Arial" w:hAnsi="Arial" w:cs="Arial"/>
          <w:color w:val="000000" w:themeColor="text1"/>
          <w:sz w:val="20"/>
          <w:szCs w:val="20"/>
          <w:lang w:val="de-DE"/>
        </w:rPr>
        <w:t xml:space="preserve"> und deren neue Geschäftsmodelle</w:t>
      </w:r>
      <w:r w:rsidR="00F86F32">
        <w:rPr>
          <w:rFonts w:ascii="Arial" w:hAnsi="Arial" w:cs="Arial"/>
          <w:color w:val="000000" w:themeColor="text1"/>
          <w:sz w:val="20"/>
          <w:szCs w:val="20"/>
          <w:lang w:val="de-DE"/>
        </w:rPr>
        <w:t xml:space="preserve"> detailliert</w:t>
      </w:r>
      <w:r w:rsidR="00F86F32" w:rsidRPr="00AD5234">
        <w:rPr>
          <w:rFonts w:ascii="Arial" w:hAnsi="Arial" w:cs="Arial"/>
          <w:color w:val="000000" w:themeColor="text1"/>
          <w:sz w:val="20"/>
          <w:szCs w:val="20"/>
          <w:lang w:val="de-DE"/>
        </w:rPr>
        <w:t xml:space="preserve"> </w:t>
      </w:r>
      <w:r w:rsidR="00F86F32">
        <w:rPr>
          <w:rFonts w:ascii="Arial" w:hAnsi="Arial" w:cs="Arial"/>
          <w:color w:val="000000" w:themeColor="text1"/>
          <w:sz w:val="20"/>
          <w:szCs w:val="20"/>
          <w:lang w:val="de-DE"/>
        </w:rPr>
        <w:t xml:space="preserve">kennenzulernen </w:t>
      </w:r>
      <w:r w:rsidR="00F86F32" w:rsidRPr="00AD5234">
        <w:rPr>
          <w:rFonts w:ascii="Arial" w:hAnsi="Arial" w:cs="Arial"/>
          <w:color w:val="000000" w:themeColor="text1"/>
          <w:sz w:val="20"/>
          <w:szCs w:val="20"/>
          <w:lang w:val="de-DE"/>
        </w:rPr>
        <w:t xml:space="preserve">und zu verstehen, welchen Beitrag sie in der </w:t>
      </w:r>
      <w:r w:rsidR="0059368A">
        <w:rPr>
          <w:rFonts w:ascii="Arial" w:hAnsi="Arial" w:cs="Arial"/>
          <w:color w:val="000000" w:themeColor="text1"/>
          <w:sz w:val="20"/>
          <w:szCs w:val="20"/>
          <w:lang w:val="de-DE"/>
        </w:rPr>
        <w:t>Versicherungsb</w:t>
      </w:r>
      <w:r w:rsidR="00F86F32" w:rsidRPr="00AD5234">
        <w:rPr>
          <w:rFonts w:ascii="Arial" w:hAnsi="Arial" w:cs="Arial"/>
          <w:color w:val="000000" w:themeColor="text1"/>
          <w:sz w:val="20"/>
          <w:szCs w:val="20"/>
          <w:lang w:val="de-DE"/>
        </w:rPr>
        <w:t>ranche leisten können, lässt erkennen, wie man neue Chancen nutzen und Herausforderungen mit besseren Erfolgs</w:t>
      </w:r>
      <w:r w:rsidR="0059368A">
        <w:rPr>
          <w:rFonts w:ascii="Arial" w:hAnsi="Arial" w:cs="Arial"/>
          <w:color w:val="000000" w:themeColor="text1"/>
          <w:sz w:val="20"/>
          <w:szCs w:val="20"/>
          <w:lang w:val="de-DE"/>
        </w:rPr>
        <w:t>aussichten begegnen</w:t>
      </w:r>
      <w:r w:rsidR="00F86F32" w:rsidRPr="00AD5234">
        <w:rPr>
          <w:rFonts w:ascii="Arial" w:hAnsi="Arial" w:cs="Arial"/>
          <w:color w:val="000000" w:themeColor="text1"/>
          <w:sz w:val="20"/>
          <w:szCs w:val="20"/>
          <w:lang w:val="de-DE"/>
        </w:rPr>
        <w:t xml:space="preserve"> kann</w:t>
      </w:r>
      <w:r w:rsidR="00F86F32" w:rsidRPr="005F410F">
        <w:rPr>
          <w:rFonts w:ascii="Arial" w:hAnsi="Arial" w:cs="Arial"/>
          <w:color w:val="000000"/>
          <w:sz w:val="20"/>
          <w:szCs w:val="20"/>
          <w:lang w:val="de-DE"/>
        </w:rPr>
        <w:t>“,</w:t>
      </w:r>
      <w:r w:rsidR="00F86F32" w:rsidRPr="005F410F">
        <w:rPr>
          <w:rFonts w:ascii="Arial" w:hAnsi="Arial" w:cs="Arial"/>
          <w:sz w:val="20"/>
          <w:szCs w:val="20"/>
          <w:lang w:val="de-DE"/>
        </w:rPr>
        <w:t xml:space="preserve"> sagt </w:t>
      </w:r>
      <w:r w:rsidR="00F86F32">
        <w:rPr>
          <w:rFonts w:ascii="Arial" w:hAnsi="Arial" w:cs="Arial"/>
          <w:sz w:val="20"/>
          <w:szCs w:val="20"/>
          <w:lang w:val="de-DE"/>
        </w:rPr>
        <w:t>Stefan Hansen</w:t>
      </w:r>
      <w:r w:rsidR="00F86F32" w:rsidRPr="005F410F">
        <w:rPr>
          <w:rFonts w:ascii="Arial" w:hAnsi="Arial" w:cs="Arial"/>
          <w:sz w:val="20"/>
          <w:szCs w:val="20"/>
          <w:lang w:val="de-DE"/>
        </w:rPr>
        <w:t xml:space="preserve">, </w:t>
      </w:r>
      <w:r w:rsidR="00F86F32">
        <w:rPr>
          <w:rFonts w:ascii="Arial" w:hAnsi="Arial" w:cs="Arial"/>
          <w:sz w:val="20"/>
          <w:szCs w:val="20"/>
          <w:lang w:val="de-DE"/>
        </w:rPr>
        <w:t xml:space="preserve">CEO und </w:t>
      </w:r>
      <w:r w:rsidR="00F86F32" w:rsidRPr="005F410F">
        <w:rPr>
          <w:rFonts w:ascii="Arial" w:hAnsi="Arial" w:cs="Arial"/>
          <w:sz w:val="20"/>
          <w:szCs w:val="20"/>
          <w:lang w:val="de-DE"/>
        </w:rPr>
        <w:t>Geschäftsführer bei NTT DATA DACH</w:t>
      </w:r>
      <w:r w:rsidR="00F86F32">
        <w:rPr>
          <w:rFonts w:ascii="Arial" w:hAnsi="Arial" w:cs="Arial"/>
          <w:sz w:val="20"/>
          <w:szCs w:val="20"/>
          <w:lang w:val="de-DE"/>
        </w:rPr>
        <w:t>.</w:t>
      </w:r>
    </w:p>
    <w:p w14:paraId="047DB6CD" w14:textId="77777777" w:rsidR="00AD5234" w:rsidRPr="00AD5234" w:rsidRDefault="00AD5234" w:rsidP="00AD5234">
      <w:pPr>
        <w:pStyle w:val="Default"/>
        <w:rPr>
          <w:rFonts w:ascii="Arial" w:hAnsi="Arial" w:cs="Arial"/>
          <w:color w:val="000000" w:themeColor="text1"/>
          <w:sz w:val="20"/>
          <w:szCs w:val="20"/>
          <w:lang w:val="de-DE"/>
        </w:rPr>
      </w:pPr>
    </w:p>
    <w:p w14:paraId="65DA87A0" w14:textId="77777777" w:rsidR="00AD5234" w:rsidRPr="00AD5234" w:rsidRDefault="00AD5234" w:rsidP="00AD5234">
      <w:pPr>
        <w:pStyle w:val="Default"/>
        <w:rPr>
          <w:rFonts w:ascii="Arial" w:hAnsi="Arial" w:cs="Arial"/>
          <w:b/>
          <w:bCs/>
          <w:color w:val="000000" w:themeColor="text1"/>
          <w:sz w:val="20"/>
          <w:szCs w:val="20"/>
          <w:lang w:val="de-DE"/>
        </w:rPr>
      </w:pPr>
      <w:r w:rsidRPr="00AD5234">
        <w:rPr>
          <w:rFonts w:ascii="Arial" w:hAnsi="Arial" w:cs="Arial"/>
          <w:b/>
          <w:bCs/>
          <w:color w:val="000000" w:themeColor="text1"/>
          <w:sz w:val="20"/>
          <w:szCs w:val="20"/>
          <w:lang w:val="de-DE"/>
        </w:rPr>
        <w:t>Höhere Investitionen, Innovation, Personalisierung und Technologie als Basis der Trends</w:t>
      </w:r>
    </w:p>
    <w:p w14:paraId="7709710E" w14:textId="77777777" w:rsidR="00AD5234" w:rsidRPr="00AD5234" w:rsidRDefault="00AD5234" w:rsidP="00AD5234">
      <w:pPr>
        <w:pStyle w:val="Default"/>
        <w:rPr>
          <w:rFonts w:ascii="Arial" w:hAnsi="Arial" w:cs="Arial"/>
          <w:color w:val="000000" w:themeColor="text1"/>
          <w:sz w:val="20"/>
          <w:szCs w:val="20"/>
          <w:lang w:val="de-DE"/>
        </w:rPr>
      </w:pPr>
    </w:p>
    <w:p w14:paraId="40430F10" w14:textId="6CC5BCCF"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Die </w:t>
      </w:r>
      <w:proofErr w:type="spellStart"/>
      <w:r w:rsidRPr="00AD5234">
        <w:rPr>
          <w:rFonts w:ascii="Arial" w:hAnsi="Arial" w:cs="Arial"/>
          <w:color w:val="000000" w:themeColor="text1"/>
          <w:sz w:val="20"/>
          <w:szCs w:val="20"/>
          <w:lang w:val="de-DE"/>
        </w:rPr>
        <w:t>Insurtechs</w:t>
      </w:r>
      <w:proofErr w:type="spellEnd"/>
      <w:r w:rsidRPr="00AD5234">
        <w:rPr>
          <w:rFonts w:ascii="Arial" w:hAnsi="Arial" w:cs="Arial"/>
          <w:color w:val="000000" w:themeColor="text1"/>
          <w:sz w:val="20"/>
          <w:szCs w:val="20"/>
          <w:lang w:val="de-DE"/>
        </w:rPr>
        <w:t xml:space="preserve"> erleben gerade einen Rekordmoment. Sie konnten nicht nur die durch COVID-19 verursachte Unsicherheit überwinden, sondern auch mehr Investitionen anziehen. Die Marke von </w:t>
      </w:r>
      <w:r w:rsidRPr="006205D2">
        <w:rPr>
          <w:rFonts w:ascii="Arial" w:hAnsi="Arial" w:cs="Arial"/>
          <w:color w:val="000000" w:themeColor="text1"/>
          <w:sz w:val="20"/>
          <w:szCs w:val="20"/>
          <w:lang w:val="de-DE"/>
        </w:rPr>
        <w:t>7</w:t>
      </w:r>
      <w:r w:rsidR="006205D2" w:rsidRPr="001C35D6">
        <w:rPr>
          <w:rFonts w:ascii="Arial" w:hAnsi="Arial" w:cs="Arial"/>
          <w:color w:val="000000" w:themeColor="text1"/>
          <w:sz w:val="20"/>
          <w:szCs w:val="20"/>
          <w:lang w:val="de-DE"/>
        </w:rPr>
        <w:t xml:space="preserve"> Milliarden</w:t>
      </w:r>
      <w:r w:rsidRPr="006205D2">
        <w:rPr>
          <w:rFonts w:ascii="Arial" w:hAnsi="Arial" w:cs="Arial"/>
          <w:color w:val="000000" w:themeColor="text1"/>
          <w:sz w:val="20"/>
          <w:szCs w:val="20"/>
          <w:lang w:val="de-DE"/>
        </w:rPr>
        <w:t xml:space="preserve"> Dollar wu</w:t>
      </w:r>
      <w:r w:rsidRPr="00AD5234">
        <w:rPr>
          <w:rFonts w:ascii="Arial" w:hAnsi="Arial" w:cs="Arial"/>
          <w:color w:val="000000" w:themeColor="text1"/>
          <w:sz w:val="20"/>
          <w:szCs w:val="20"/>
          <w:lang w:val="de-DE"/>
        </w:rPr>
        <w:t>rde erreicht, wenn man die Unternehmen berücksichtigt, die im Laufe des Jahres an die Börse gingen (</w:t>
      </w:r>
      <w:proofErr w:type="spellStart"/>
      <w:r w:rsidRPr="00AD5234">
        <w:rPr>
          <w:rFonts w:ascii="Arial" w:hAnsi="Arial" w:cs="Arial"/>
          <w:color w:val="000000" w:themeColor="text1"/>
          <w:sz w:val="20"/>
          <w:szCs w:val="20"/>
          <w:lang w:val="de-DE"/>
        </w:rPr>
        <w:t>Lemonade</w:t>
      </w:r>
      <w:proofErr w:type="spellEnd"/>
      <w:r w:rsidRPr="00AD5234">
        <w:rPr>
          <w:rFonts w:ascii="Arial" w:hAnsi="Arial" w:cs="Arial"/>
          <w:color w:val="000000" w:themeColor="text1"/>
          <w:sz w:val="20"/>
          <w:szCs w:val="20"/>
          <w:lang w:val="de-DE"/>
        </w:rPr>
        <w:t xml:space="preserve"> und Root</w:t>
      </w:r>
      <w:r w:rsidR="00BA16FF">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die mit 1</w:t>
      </w:r>
      <w:r w:rsidR="006205D2">
        <w:rPr>
          <w:rFonts w:ascii="Arial" w:hAnsi="Arial" w:cs="Arial"/>
          <w:color w:val="000000" w:themeColor="text1"/>
          <w:sz w:val="20"/>
          <w:szCs w:val="20"/>
          <w:lang w:val="de-DE"/>
        </w:rPr>
        <w:t xml:space="preserve"> Milliarde</w:t>
      </w:r>
      <w:r w:rsidRPr="00AD5234">
        <w:rPr>
          <w:rFonts w:ascii="Arial" w:hAnsi="Arial" w:cs="Arial"/>
          <w:color w:val="000000" w:themeColor="text1"/>
          <w:sz w:val="20"/>
          <w:szCs w:val="20"/>
          <w:lang w:val="de-DE"/>
        </w:rPr>
        <w:t xml:space="preserve"> Dollar bewertet wurden).</w:t>
      </w:r>
    </w:p>
    <w:p w14:paraId="67A59EB8" w14:textId="347A3E6A" w:rsidR="00AD5234" w:rsidRPr="00AD5234" w:rsidRDefault="00AD5234" w:rsidP="00526C03">
      <w:pPr>
        <w:pStyle w:val="Default"/>
        <w:tabs>
          <w:tab w:val="left" w:pos="2068"/>
        </w:tabs>
        <w:rPr>
          <w:rFonts w:ascii="Arial" w:hAnsi="Arial" w:cs="Arial"/>
          <w:color w:val="000000" w:themeColor="text1"/>
          <w:sz w:val="20"/>
          <w:szCs w:val="20"/>
          <w:lang w:val="de-DE"/>
        </w:rPr>
      </w:pPr>
    </w:p>
    <w:p w14:paraId="1B357893" w14:textId="77777777"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Einerseits hat die Pandemie das Verbraucherverhalten verändert, auch im Versicherungssektor. Aus dem höheren Grad an Personalisierung ergab sich eine Beschleunigung neuer Geschäftsmodelle: Pay-per-</w:t>
      </w:r>
      <w:proofErr w:type="spellStart"/>
      <w:r w:rsidRPr="00AD5234">
        <w:rPr>
          <w:rFonts w:ascii="Arial" w:hAnsi="Arial" w:cs="Arial"/>
          <w:color w:val="000000" w:themeColor="text1"/>
          <w:sz w:val="20"/>
          <w:szCs w:val="20"/>
          <w:lang w:val="de-DE"/>
        </w:rPr>
        <w:t>Use</w:t>
      </w:r>
      <w:proofErr w:type="spellEnd"/>
      <w:r w:rsidRPr="00AD5234">
        <w:rPr>
          <w:rFonts w:ascii="Arial" w:hAnsi="Arial" w:cs="Arial"/>
          <w:color w:val="000000" w:themeColor="text1"/>
          <w:sz w:val="20"/>
          <w:szCs w:val="20"/>
          <w:lang w:val="de-DE"/>
        </w:rPr>
        <w:t xml:space="preserve">-Modelle, Telemedizin, Diagnosetools oder die Digitalisierung des Vertriebs wachsen, ebenso wie </w:t>
      </w:r>
      <w:proofErr w:type="spellStart"/>
      <w:r w:rsidRPr="00AD5234">
        <w:rPr>
          <w:rFonts w:ascii="Arial" w:hAnsi="Arial" w:cs="Arial"/>
          <w:color w:val="000000" w:themeColor="text1"/>
          <w:sz w:val="20"/>
          <w:szCs w:val="20"/>
          <w:lang w:val="de-DE"/>
        </w:rPr>
        <w:t>Wearables</w:t>
      </w:r>
      <w:proofErr w:type="spellEnd"/>
      <w:r w:rsidRPr="00AD5234">
        <w:rPr>
          <w:rFonts w:ascii="Arial" w:hAnsi="Arial" w:cs="Arial"/>
          <w:color w:val="000000" w:themeColor="text1"/>
          <w:sz w:val="20"/>
          <w:szCs w:val="20"/>
          <w:lang w:val="de-DE"/>
        </w:rPr>
        <w:t>, die im Laufe des Jahres weiter an Dynamik gewonnen haben. Hinzu kommen die Maklerplattformen und Cyberversicherungen, die 2020 relevante Investitionen und Ertragsankündigungen erhielten.</w:t>
      </w:r>
    </w:p>
    <w:p w14:paraId="6D5F6156" w14:textId="77777777" w:rsidR="00AD5234" w:rsidRPr="00AD5234" w:rsidRDefault="00AD5234" w:rsidP="00AD5234">
      <w:pPr>
        <w:pStyle w:val="Default"/>
        <w:rPr>
          <w:rFonts w:ascii="Arial" w:hAnsi="Arial" w:cs="Arial"/>
          <w:color w:val="000000" w:themeColor="text1"/>
          <w:sz w:val="20"/>
          <w:szCs w:val="20"/>
          <w:lang w:val="de-DE"/>
        </w:rPr>
      </w:pPr>
    </w:p>
    <w:p w14:paraId="7F261A72" w14:textId="7888F314"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Andererseits hat die Pandemie die Versicherer nicht davon abgehalten, ihren Digitalisierungskurs fortzusetzen. Das bedeutet, dass die Vision der Versicherer, wie </w:t>
      </w:r>
      <w:proofErr w:type="spellStart"/>
      <w:r w:rsidRPr="00AD5234">
        <w:rPr>
          <w:rFonts w:ascii="Arial" w:hAnsi="Arial" w:cs="Arial"/>
          <w:color w:val="000000" w:themeColor="text1"/>
          <w:sz w:val="20"/>
          <w:szCs w:val="20"/>
          <w:lang w:val="de-DE"/>
        </w:rPr>
        <w:t>Insurtech</w:t>
      </w:r>
      <w:proofErr w:type="spellEnd"/>
      <w:r w:rsidRPr="00AD5234">
        <w:rPr>
          <w:rFonts w:ascii="Arial" w:hAnsi="Arial" w:cs="Arial"/>
          <w:color w:val="000000" w:themeColor="text1"/>
          <w:sz w:val="20"/>
          <w:szCs w:val="20"/>
          <w:lang w:val="de-DE"/>
        </w:rPr>
        <w:t xml:space="preserve"> die digitale Transformation und Innovation für den Sektor vorantreibt, weiterhin wirkt. Im vergangenen Jahr haben die Versicherer fast 1</w:t>
      </w:r>
      <w:r w:rsidR="006205D2">
        <w:rPr>
          <w:rFonts w:ascii="Arial" w:hAnsi="Arial" w:cs="Arial"/>
          <w:color w:val="000000" w:themeColor="text1"/>
          <w:sz w:val="20"/>
          <w:szCs w:val="20"/>
          <w:lang w:val="de-DE"/>
        </w:rPr>
        <w:t>,</w:t>
      </w:r>
      <w:r w:rsidRPr="00AD5234">
        <w:rPr>
          <w:rFonts w:ascii="Arial" w:hAnsi="Arial" w:cs="Arial"/>
          <w:color w:val="000000" w:themeColor="text1"/>
          <w:sz w:val="20"/>
          <w:szCs w:val="20"/>
          <w:lang w:val="de-DE"/>
        </w:rPr>
        <w:t xml:space="preserve">6 </w:t>
      </w:r>
      <w:r w:rsidR="006205D2">
        <w:rPr>
          <w:rFonts w:ascii="Arial" w:hAnsi="Arial" w:cs="Arial"/>
          <w:color w:val="000000" w:themeColor="text1"/>
          <w:sz w:val="20"/>
          <w:szCs w:val="20"/>
          <w:lang w:val="de-DE"/>
        </w:rPr>
        <w:t>Milliarden</w:t>
      </w:r>
      <w:r w:rsidR="006205D2"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Dollar für Startup-Modelle bereitgestellt und damit die Investitionen im Vergleich zu 2019 um 61 Prozent erhöht, wovon 445 Millionen auf </w:t>
      </w:r>
      <w:r w:rsidR="0007390D">
        <w:rPr>
          <w:rFonts w:ascii="Arial" w:hAnsi="Arial" w:cs="Arial"/>
          <w:color w:val="000000" w:themeColor="text1"/>
          <w:sz w:val="20"/>
          <w:szCs w:val="20"/>
          <w:lang w:val="de-DE"/>
        </w:rPr>
        <w:t xml:space="preserve">die Beteiligung an </w:t>
      </w:r>
      <w:proofErr w:type="spellStart"/>
      <w:r w:rsidRPr="00AD5234">
        <w:rPr>
          <w:rFonts w:ascii="Arial" w:hAnsi="Arial" w:cs="Arial"/>
          <w:color w:val="000000" w:themeColor="text1"/>
          <w:sz w:val="20"/>
          <w:szCs w:val="20"/>
          <w:lang w:val="de-DE"/>
        </w:rPr>
        <w:t>Insurtech</w:t>
      </w:r>
      <w:r w:rsidR="0007390D">
        <w:rPr>
          <w:rFonts w:ascii="Arial" w:hAnsi="Arial" w:cs="Arial"/>
          <w:color w:val="000000" w:themeColor="text1"/>
          <w:sz w:val="20"/>
          <w:szCs w:val="20"/>
          <w:lang w:val="de-DE"/>
        </w:rPr>
        <w:t>s</w:t>
      </w:r>
      <w:proofErr w:type="spellEnd"/>
      <w:r w:rsidRPr="00AD5234">
        <w:rPr>
          <w:rFonts w:ascii="Arial" w:hAnsi="Arial" w:cs="Arial"/>
          <w:color w:val="000000" w:themeColor="text1"/>
          <w:sz w:val="20"/>
          <w:szCs w:val="20"/>
          <w:lang w:val="de-DE"/>
        </w:rPr>
        <w:t xml:space="preserve"> entfielen.</w:t>
      </w:r>
    </w:p>
    <w:p w14:paraId="49C7F913" w14:textId="77777777" w:rsidR="00AD5234" w:rsidRPr="00AD5234" w:rsidRDefault="00AD5234" w:rsidP="00AD5234">
      <w:pPr>
        <w:pStyle w:val="Default"/>
        <w:rPr>
          <w:rFonts w:ascii="Arial" w:hAnsi="Arial" w:cs="Arial"/>
          <w:color w:val="000000" w:themeColor="text1"/>
          <w:sz w:val="20"/>
          <w:szCs w:val="20"/>
          <w:lang w:val="de-DE"/>
        </w:rPr>
      </w:pPr>
    </w:p>
    <w:p w14:paraId="17AB2772" w14:textId="3858D213"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Der Blick auf die Details dieser Investitionen zeigt: Die Versicherer verwendeten die meisten ihrer </w:t>
      </w:r>
      <w:r w:rsidR="0007390D">
        <w:rPr>
          <w:rFonts w:ascii="Arial" w:hAnsi="Arial" w:cs="Arial"/>
          <w:color w:val="000000" w:themeColor="text1"/>
          <w:sz w:val="20"/>
          <w:szCs w:val="20"/>
          <w:lang w:val="de-DE"/>
        </w:rPr>
        <w:t>Investitionen</w:t>
      </w:r>
      <w:r w:rsidR="0007390D"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für Startups in der Wachstumsphase, mit durchschnittlich 23 Millionen pro Runde im Jahr 2020. Im Rahmen dieser </w:t>
      </w:r>
      <w:r w:rsidR="0007390D">
        <w:rPr>
          <w:rFonts w:ascii="Arial" w:hAnsi="Arial" w:cs="Arial"/>
          <w:color w:val="000000" w:themeColor="text1"/>
          <w:sz w:val="20"/>
          <w:szCs w:val="20"/>
          <w:lang w:val="de-DE"/>
        </w:rPr>
        <w:t>Investments</w:t>
      </w:r>
      <w:r w:rsidR="0007390D"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konzentrierten sich die Versicherungsinvestoren </w:t>
      </w:r>
      <w:r w:rsidR="0007390D">
        <w:rPr>
          <w:rFonts w:ascii="Arial" w:hAnsi="Arial" w:cs="Arial"/>
          <w:color w:val="000000" w:themeColor="text1"/>
          <w:sz w:val="20"/>
          <w:szCs w:val="20"/>
          <w:lang w:val="de-DE"/>
        </w:rPr>
        <w:t>vor allem</w:t>
      </w:r>
      <w:r w:rsidR="0007390D"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auf Unternehmen, die mit Technologien wie Cloud</w:t>
      </w:r>
      <w:r w:rsidR="0007390D">
        <w:rPr>
          <w:rFonts w:ascii="Arial" w:hAnsi="Arial" w:cs="Arial"/>
          <w:color w:val="000000" w:themeColor="text1"/>
          <w:sz w:val="20"/>
          <w:szCs w:val="20"/>
          <w:lang w:val="de-DE"/>
        </w:rPr>
        <w:t xml:space="preserve"> oder </w:t>
      </w:r>
      <w:r w:rsidRPr="00AD5234">
        <w:rPr>
          <w:rFonts w:ascii="Arial" w:hAnsi="Arial" w:cs="Arial"/>
          <w:color w:val="000000" w:themeColor="text1"/>
          <w:sz w:val="20"/>
          <w:szCs w:val="20"/>
          <w:lang w:val="de-DE"/>
        </w:rPr>
        <w:t xml:space="preserve">Mobile arbeiten, sowie auf </w:t>
      </w:r>
      <w:r w:rsidR="0007390D">
        <w:rPr>
          <w:rFonts w:ascii="Arial" w:hAnsi="Arial" w:cs="Arial"/>
          <w:color w:val="000000" w:themeColor="text1"/>
          <w:sz w:val="20"/>
          <w:szCs w:val="20"/>
          <w:lang w:val="de-DE"/>
        </w:rPr>
        <w:t xml:space="preserve">neue </w:t>
      </w:r>
      <w:r w:rsidRPr="00AD5234">
        <w:rPr>
          <w:rFonts w:ascii="Arial" w:hAnsi="Arial" w:cs="Arial"/>
          <w:color w:val="000000" w:themeColor="text1"/>
          <w:sz w:val="20"/>
          <w:szCs w:val="20"/>
          <w:lang w:val="de-DE"/>
        </w:rPr>
        <w:t xml:space="preserve">Geschäftsmodelle, die sich mit der Personalisierung von Versicherungen, </w:t>
      </w:r>
      <w:proofErr w:type="spellStart"/>
      <w:r w:rsidRPr="00AD5234">
        <w:rPr>
          <w:rFonts w:ascii="Arial" w:hAnsi="Arial" w:cs="Arial"/>
          <w:color w:val="000000" w:themeColor="text1"/>
          <w:sz w:val="20"/>
          <w:szCs w:val="20"/>
          <w:lang w:val="de-DE"/>
        </w:rPr>
        <w:t>Aggregatoren</w:t>
      </w:r>
      <w:proofErr w:type="spellEnd"/>
      <w:r w:rsidRPr="00AD5234">
        <w:rPr>
          <w:rFonts w:ascii="Arial" w:hAnsi="Arial" w:cs="Arial"/>
          <w:color w:val="000000" w:themeColor="text1"/>
          <w:sz w:val="20"/>
          <w:szCs w:val="20"/>
          <w:lang w:val="de-DE"/>
        </w:rPr>
        <w:t xml:space="preserve">, Plattformen und Vergleichsportalen befassen. </w:t>
      </w:r>
    </w:p>
    <w:p w14:paraId="1C14F637" w14:textId="77777777" w:rsidR="00AD5234" w:rsidRPr="00AD5234" w:rsidRDefault="00AD5234" w:rsidP="00AD5234">
      <w:pPr>
        <w:pStyle w:val="Default"/>
        <w:rPr>
          <w:rFonts w:ascii="Arial" w:hAnsi="Arial" w:cs="Arial"/>
          <w:color w:val="000000" w:themeColor="text1"/>
          <w:sz w:val="20"/>
          <w:szCs w:val="20"/>
          <w:lang w:val="de-DE"/>
        </w:rPr>
      </w:pPr>
    </w:p>
    <w:p w14:paraId="6B365F7D" w14:textId="112C0FCC" w:rsidR="00AD5234" w:rsidRPr="00AD5234" w:rsidRDefault="002C6722"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Diese neuen technologiegestützten Unternehmen – viele von ihnen basieren auf </w:t>
      </w:r>
      <w:proofErr w:type="spellStart"/>
      <w:r w:rsidRPr="00AD5234">
        <w:rPr>
          <w:rFonts w:ascii="Arial" w:hAnsi="Arial" w:cs="Arial"/>
          <w:color w:val="000000" w:themeColor="text1"/>
          <w:sz w:val="20"/>
          <w:szCs w:val="20"/>
          <w:lang w:val="de-DE"/>
        </w:rPr>
        <w:t>IoT</w:t>
      </w:r>
      <w:proofErr w:type="spellEnd"/>
      <w:r w:rsidRPr="00AD5234">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 xml:space="preserve">und vernetzten Gegenständen (z.B. </w:t>
      </w:r>
      <w:proofErr w:type="spellStart"/>
      <w:r>
        <w:rPr>
          <w:rFonts w:ascii="Arial" w:hAnsi="Arial" w:cs="Arial"/>
          <w:color w:val="000000" w:themeColor="text1"/>
          <w:sz w:val="20"/>
          <w:szCs w:val="20"/>
          <w:lang w:val="de-DE"/>
        </w:rPr>
        <w:t>Wearables</w:t>
      </w:r>
      <w:proofErr w:type="spellEnd"/>
      <w:r>
        <w:rPr>
          <w:rFonts w:ascii="Arial" w:hAnsi="Arial" w:cs="Arial"/>
          <w:color w:val="000000" w:themeColor="text1"/>
          <w:sz w:val="20"/>
          <w:szCs w:val="20"/>
          <w:lang w:val="de-DE"/>
        </w:rPr>
        <w:t>, Smart Home-Gegenständen oder vernetzten Autos</w:t>
      </w:r>
      <w:r w:rsidR="00C84ED8">
        <w:rPr>
          <w:rFonts w:ascii="Arial" w:hAnsi="Arial" w:cs="Arial"/>
          <w:color w:val="000000" w:themeColor="text1"/>
          <w:sz w:val="20"/>
          <w:szCs w:val="20"/>
          <w:lang w:val="de-DE"/>
        </w:rPr>
        <w:t>)</w:t>
      </w:r>
      <w:r>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 </w:t>
      </w:r>
      <w:r>
        <w:rPr>
          <w:rFonts w:ascii="Arial" w:hAnsi="Arial" w:cs="Arial"/>
          <w:color w:val="000000" w:themeColor="text1"/>
          <w:sz w:val="20"/>
          <w:szCs w:val="20"/>
          <w:lang w:val="de-DE"/>
        </w:rPr>
        <w:t>leiten auch einen Philosophiewechsel bei den Versicherern ein</w:t>
      </w:r>
      <w:r w:rsidR="00C84ED8">
        <w:rPr>
          <w:rFonts w:ascii="Arial" w:hAnsi="Arial" w:cs="Arial"/>
          <w:color w:val="000000" w:themeColor="text1"/>
          <w:sz w:val="20"/>
          <w:szCs w:val="20"/>
          <w:lang w:val="de-DE"/>
        </w:rPr>
        <w:t>. S</w:t>
      </w:r>
      <w:r>
        <w:rPr>
          <w:rFonts w:ascii="Arial" w:hAnsi="Arial" w:cs="Arial"/>
          <w:color w:val="000000" w:themeColor="text1"/>
          <w:sz w:val="20"/>
          <w:szCs w:val="20"/>
          <w:lang w:val="de-DE"/>
        </w:rPr>
        <w:t>ie leisten nicht mehr nur Schutz im Schadensfall, sondern werden zum Lebensbegleiter ihrer Kunden und unterstützen bei der Schadenprävention</w:t>
      </w:r>
      <w:r w:rsidRPr="00AD5234">
        <w:rPr>
          <w:rFonts w:ascii="Arial" w:hAnsi="Arial" w:cs="Arial"/>
          <w:color w:val="000000" w:themeColor="text1"/>
          <w:sz w:val="20"/>
          <w:szCs w:val="20"/>
          <w:lang w:val="de-DE"/>
        </w:rPr>
        <w:t>.</w:t>
      </w:r>
    </w:p>
    <w:p w14:paraId="1FFA3181" w14:textId="77777777" w:rsidR="00AD5234" w:rsidRPr="00AD5234" w:rsidRDefault="00AD5234" w:rsidP="00AD5234">
      <w:pPr>
        <w:pStyle w:val="Default"/>
        <w:rPr>
          <w:rFonts w:ascii="Arial" w:hAnsi="Arial" w:cs="Arial"/>
          <w:color w:val="000000" w:themeColor="text1"/>
          <w:sz w:val="20"/>
          <w:szCs w:val="20"/>
          <w:lang w:val="de-DE"/>
        </w:rPr>
      </w:pPr>
    </w:p>
    <w:p w14:paraId="5C49D556" w14:textId="47EA7AA6"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Versicherer und Startups nutzen </w:t>
      </w:r>
      <w:r w:rsidR="00DF1FF2">
        <w:rPr>
          <w:rFonts w:ascii="Arial" w:hAnsi="Arial" w:cs="Arial"/>
          <w:color w:val="000000" w:themeColor="text1"/>
          <w:sz w:val="20"/>
          <w:szCs w:val="20"/>
          <w:lang w:val="de-DE"/>
        </w:rPr>
        <w:t>neu gesammelte</w:t>
      </w:r>
      <w:r w:rsidR="00DF1FF2"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Daten und künstliche Intelligenz, um Schadenkosten zu reduzieren und zu managen, während sie Kunden helfen, unerwünschte Ereignisse zu verhindern. Darüber hinaus wirkt sich in diesem Jahr ein besonders starkes Wachstum des </w:t>
      </w:r>
      <w:proofErr w:type="spellStart"/>
      <w:r w:rsidRPr="00AD5234">
        <w:rPr>
          <w:rFonts w:ascii="Arial" w:hAnsi="Arial" w:cs="Arial"/>
          <w:color w:val="000000" w:themeColor="text1"/>
          <w:sz w:val="20"/>
          <w:szCs w:val="20"/>
          <w:lang w:val="de-DE"/>
        </w:rPr>
        <w:t>Io</w:t>
      </w:r>
      <w:r w:rsidR="00F24653">
        <w:rPr>
          <w:rFonts w:ascii="Arial" w:hAnsi="Arial" w:cs="Arial"/>
          <w:color w:val="000000" w:themeColor="text1"/>
          <w:sz w:val="20"/>
          <w:szCs w:val="20"/>
          <w:lang w:val="de-DE"/>
        </w:rPr>
        <w:t>T</w:t>
      </w:r>
      <w:proofErr w:type="spellEnd"/>
      <w:r w:rsidR="00F24653">
        <w:rPr>
          <w:rFonts w:ascii="Arial" w:hAnsi="Arial" w:cs="Arial"/>
          <w:color w:val="000000" w:themeColor="text1"/>
          <w:sz w:val="20"/>
          <w:szCs w:val="20"/>
          <w:lang w:val="de-DE"/>
        </w:rPr>
        <w:t xml:space="preserve"> auf alle Geschäftsbereiche aus: m</w:t>
      </w:r>
      <w:r w:rsidRPr="00AD5234">
        <w:rPr>
          <w:rFonts w:ascii="Arial" w:hAnsi="Arial" w:cs="Arial"/>
          <w:color w:val="000000" w:themeColor="text1"/>
          <w:sz w:val="20"/>
          <w:szCs w:val="20"/>
          <w:lang w:val="de-DE"/>
        </w:rPr>
        <w:t xml:space="preserve">it nutzungsbasierten Versicherungen für Fahrzeuge, </w:t>
      </w:r>
      <w:proofErr w:type="spellStart"/>
      <w:r w:rsidRPr="00AD5234">
        <w:rPr>
          <w:rFonts w:ascii="Arial" w:hAnsi="Arial" w:cs="Arial"/>
          <w:color w:val="000000" w:themeColor="text1"/>
          <w:sz w:val="20"/>
          <w:szCs w:val="20"/>
          <w:lang w:val="de-DE"/>
        </w:rPr>
        <w:t>Wearables</w:t>
      </w:r>
      <w:proofErr w:type="spellEnd"/>
      <w:r w:rsidRPr="00AD5234">
        <w:rPr>
          <w:rFonts w:ascii="Arial" w:hAnsi="Arial" w:cs="Arial"/>
          <w:color w:val="000000" w:themeColor="text1"/>
          <w:sz w:val="20"/>
          <w:szCs w:val="20"/>
          <w:lang w:val="de-DE"/>
        </w:rPr>
        <w:t xml:space="preserve"> für Gesundheit und Leben, aber auch mit Geräten zur Erkennung von Lecks und Überschwemmungen für zu Hause oder mit parametrischen Policen für Transport und spezielle Risiken im gewerblichen Bereich. Querschnittstechnologien unterstützen alle Geschäftsbereiche und tragen dazu bei, das Kundenerlebnis zu verbessern und die Verwaltung effizienter zu machen.</w:t>
      </w:r>
    </w:p>
    <w:p w14:paraId="2D37492F" w14:textId="77777777" w:rsidR="00AD5234" w:rsidRPr="00AD5234" w:rsidRDefault="00AD5234" w:rsidP="00AD5234">
      <w:pPr>
        <w:pStyle w:val="Default"/>
        <w:rPr>
          <w:rFonts w:ascii="Arial" w:hAnsi="Arial" w:cs="Arial"/>
          <w:color w:val="000000" w:themeColor="text1"/>
          <w:sz w:val="20"/>
          <w:szCs w:val="20"/>
          <w:lang w:val="de-DE"/>
        </w:rPr>
      </w:pPr>
    </w:p>
    <w:p w14:paraId="3CFF5E4D" w14:textId="77777777" w:rsidR="00AD5234" w:rsidRPr="00AD5234" w:rsidRDefault="00AD5234" w:rsidP="00AD5234">
      <w:pPr>
        <w:pStyle w:val="Default"/>
        <w:rPr>
          <w:rFonts w:ascii="Arial" w:hAnsi="Arial" w:cs="Arial"/>
          <w:b/>
          <w:bCs/>
          <w:color w:val="000000" w:themeColor="text1"/>
          <w:sz w:val="20"/>
          <w:szCs w:val="20"/>
          <w:lang w:val="de-DE"/>
        </w:rPr>
      </w:pPr>
      <w:r w:rsidRPr="00AD5234">
        <w:rPr>
          <w:rFonts w:ascii="Arial" w:hAnsi="Arial" w:cs="Arial"/>
          <w:b/>
          <w:bCs/>
          <w:color w:val="000000" w:themeColor="text1"/>
          <w:sz w:val="20"/>
          <w:szCs w:val="20"/>
          <w:lang w:val="de-DE"/>
        </w:rPr>
        <w:t>Schwellenländer und regionale Unterschiede bei Investitionen</w:t>
      </w:r>
    </w:p>
    <w:p w14:paraId="2BD17BBA" w14:textId="77777777" w:rsidR="00AD5234" w:rsidRPr="00AD5234" w:rsidRDefault="00AD5234" w:rsidP="00AD5234">
      <w:pPr>
        <w:pStyle w:val="Default"/>
        <w:rPr>
          <w:rFonts w:ascii="Arial" w:hAnsi="Arial" w:cs="Arial"/>
          <w:color w:val="000000" w:themeColor="text1"/>
          <w:sz w:val="20"/>
          <w:szCs w:val="20"/>
          <w:lang w:val="de-DE"/>
        </w:rPr>
      </w:pPr>
    </w:p>
    <w:p w14:paraId="1E845A8D" w14:textId="3E8A6A3E"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Einige der asiatischen Akteure haben das Konzept der Ökosysteme im Versicherungssektor schon seit Jahren bestens verstanden. Das liegt vor allem daran, dass diese Region Zugang zu den drei Variablen hat, die notwendig sind, um Ökosysteme voranzutreiben: große Bevölkerungszahlen, hohe Technologieakzeptanz und eine geringe Versicherungsdurchdringung. In diesen riesigen Märkten gibt es eine große Bereitschaft zur Nutzung digitaler Technologien und im Allgemeinen eine sehr niedrige Versicherungsdurchdringung von einem Prozent, während ein konsolidierter Markt in einem anderen Gebiet fast fünf Prozent erreicht. Dadurch funktionieren diese B2B2C-Geschäftsmodelle für </w:t>
      </w:r>
      <w:proofErr w:type="spellStart"/>
      <w:r w:rsidRPr="00AD5234">
        <w:rPr>
          <w:rFonts w:ascii="Arial" w:hAnsi="Arial" w:cs="Arial"/>
          <w:color w:val="000000" w:themeColor="text1"/>
          <w:sz w:val="20"/>
          <w:szCs w:val="20"/>
          <w:lang w:val="de-DE"/>
        </w:rPr>
        <w:t>Insurtechs</w:t>
      </w:r>
      <w:proofErr w:type="spellEnd"/>
      <w:r w:rsidRPr="00AD5234">
        <w:rPr>
          <w:rFonts w:ascii="Arial" w:hAnsi="Arial" w:cs="Arial"/>
          <w:color w:val="000000" w:themeColor="text1"/>
          <w:sz w:val="20"/>
          <w:szCs w:val="20"/>
          <w:lang w:val="de-DE"/>
        </w:rPr>
        <w:t xml:space="preserve"> oder Versicherer bemerkenswert gut. Sie bieten Versicherungen – auch Mikroversicherungen – über die Kanäle anderer Akteure an, was einen neuen digitalen Vertrieb ermöglicht, der Elemente wie die Kosten der Kundengewinnung reduziert. So erzeugen diese vernetzten Ökosysteme außerdem weitere Verbesserungen, wie ein positiveres Kundenerlebnis oder den direkten Zugang zu Endkundendaten.</w:t>
      </w:r>
    </w:p>
    <w:p w14:paraId="56928DBE" w14:textId="77777777" w:rsidR="00AD5234" w:rsidRPr="00AD5234" w:rsidRDefault="00AD5234" w:rsidP="00AD5234">
      <w:pPr>
        <w:pStyle w:val="Default"/>
        <w:rPr>
          <w:rFonts w:ascii="Arial" w:hAnsi="Arial" w:cs="Arial"/>
          <w:color w:val="000000" w:themeColor="text1"/>
          <w:sz w:val="20"/>
          <w:szCs w:val="20"/>
          <w:lang w:val="de-DE"/>
        </w:rPr>
      </w:pPr>
    </w:p>
    <w:p w14:paraId="4F54868B" w14:textId="102F13DE" w:rsidR="00AD5234" w:rsidRPr="00AD5234" w:rsidRDefault="00AD5234" w:rsidP="00AD5234">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Nachdem die Beteiligung asiatischer Versicherer bereits in den Vorjahren relevant war, </w:t>
      </w:r>
      <w:r w:rsidR="00F140EB">
        <w:rPr>
          <w:rFonts w:ascii="Arial" w:hAnsi="Arial" w:cs="Arial"/>
          <w:color w:val="000000" w:themeColor="text1"/>
          <w:sz w:val="20"/>
          <w:szCs w:val="20"/>
          <w:lang w:val="de-DE"/>
        </w:rPr>
        <w:t>dominierten</w:t>
      </w:r>
      <w:r w:rsidR="00F140EB"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 xml:space="preserve">sie im Jahr 2020 bei den Super Deals oder Investitionsvereinbarungen mit der </w:t>
      </w:r>
      <w:r w:rsidRPr="00AD5234">
        <w:rPr>
          <w:rFonts w:ascii="Arial" w:hAnsi="Arial" w:cs="Arial"/>
          <w:color w:val="000000" w:themeColor="text1"/>
          <w:sz w:val="20"/>
          <w:szCs w:val="20"/>
          <w:lang w:val="de-DE"/>
        </w:rPr>
        <w:lastRenderedPageBreak/>
        <w:t xml:space="preserve">größten Sogwirkung und stellten europäische und amerikanische Versicherer in den Schatten. So führten vier asiatische Versicherungsinvestoren die größten Runden im Jahr 2020 an und </w:t>
      </w:r>
      <w:r w:rsidR="001523CF">
        <w:rPr>
          <w:rFonts w:ascii="Arial" w:hAnsi="Arial" w:cs="Arial"/>
          <w:color w:val="000000" w:themeColor="text1"/>
          <w:sz w:val="20"/>
          <w:szCs w:val="20"/>
          <w:lang w:val="de-DE"/>
        </w:rPr>
        <w:t>investierten</w:t>
      </w:r>
      <w:r w:rsidR="001523CF" w:rsidRPr="00AD5234">
        <w:rPr>
          <w:rFonts w:ascii="Arial" w:hAnsi="Arial" w:cs="Arial"/>
          <w:color w:val="000000" w:themeColor="text1"/>
          <w:sz w:val="20"/>
          <w:szCs w:val="20"/>
          <w:lang w:val="de-DE"/>
        </w:rPr>
        <w:t xml:space="preserve"> </w:t>
      </w:r>
      <w:r w:rsidRPr="00AD5234">
        <w:rPr>
          <w:rFonts w:ascii="Arial" w:hAnsi="Arial" w:cs="Arial"/>
          <w:color w:val="000000" w:themeColor="text1"/>
          <w:sz w:val="20"/>
          <w:szCs w:val="20"/>
          <w:lang w:val="de-DE"/>
        </w:rPr>
        <w:t>mehr als 1</w:t>
      </w:r>
      <w:r w:rsidR="00E44FCC">
        <w:rPr>
          <w:rFonts w:ascii="Arial" w:hAnsi="Arial" w:cs="Arial"/>
          <w:color w:val="000000" w:themeColor="text1"/>
          <w:sz w:val="20"/>
          <w:szCs w:val="20"/>
          <w:lang w:val="de-DE"/>
        </w:rPr>
        <w:t>,</w:t>
      </w:r>
      <w:r w:rsidRPr="00AD5234">
        <w:rPr>
          <w:rFonts w:ascii="Arial" w:hAnsi="Arial" w:cs="Arial"/>
          <w:color w:val="000000" w:themeColor="text1"/>
          <w:sz w:val="20"/>
          <w:szCs w:val="20"/>
          <w:lang w:val="de-DE"/>
        </w:rPr>
        <w:t>1</w:t>
      </w:r>
      <w:r w:rsidR="00E44FCC">
        <w:rPr>
          <w:rFonts w:ascii="Arial" w:hAnsi="Arial" w:cs="Arial"/>
          <w:color w:val="000000" w:themeColor="text1"/>
          <w:sz w:val="20"/>
          <w:szCs w:val="20"/>
          <w:lang w:val="de-DE"/>
        </w:rPr>
        <w:t xml:space="preserve"> Milliarden</w:t>
      </w:r>
      <w:r w:rsidRPr="00AD5234">
        <w:rPr>
          <w:rFonts w:ascii="Arial" w:hAnsi="Arial" w:cs="Arial"/>
          <w:color w:val="000000" w:themeColor="text1"/>
          <w:sz w:val="20"/>
          <w:szCs w:val="20"/>
          <w:lang w:val="de-DE"/>
        </w:rPr>
        <w:t xml:space="preserve"> Dollar.</w:t>
      </w:r>
    </w:p>
    <w:p w14:paraId="78BA5823" w14:textId="77777777" w:rsidR="00AD5234" w:rsidRPr="00AD5234" w:rsidRDefault="00AD5234" w:rsidP="00AD5234">
      <w:pPr>
        <w:pStyle w:val="Default"/>
        <w:rPr>
          <w:rFonts w:ascii="Arial" w:hAnsi="Arial" w:cs="Arial"/>
          <w:color w:val="000000" w:themeColor="text1"/>
          <w:sz w:val="20"/>
          <w:szCs w:val="20"/>
          <w:lang w:val="de-DE"/>
        </w:rPr>
      </w:pPr>
    </w:p>
    <w:p w14:paraId="1FD42829" w14:textId="7919E56A" w:rsidR="00AD5234" w:rsidRPr="00DA5922" w:rsidRDefault="00AD5234" w:rsidP="00DA5922">
      <w:pPr>
        <w:pStyle w:val="Default"/>
        <w:rPr>
          <w:rFonts w:ascii="Arial" w:hAnsi="Arial" w:cs="Arial"/>
          <w:color w:val="000000" w:themeColor="text1"/>
          <w:sz w:val="20"/>
          <w:szCs w:val="20"/>
          <w:lang w:val="de-DE"/>
        </w:rPr>
      </w:pPr>
      <w:r w:rsidRPr="00AD5234">
        <w:rPr>
          <w:rFonts w:ascii="Arial" w:hAnsi="Arial" w:cs="Arial"/>
          <w:color w:val="000000" w:themeColor="text1"/>
          <w:sz w:val="20"/>
          <w:szCs w:val="20"/>
          <w:lang w:val="de-DE"/>
        </w:rPr>
        <w:t xml:space="preserve">Deutlich werden auch zwei unterschiedliche Verhaltensmuster der Versicherer bei Investitionen. Einerseits liegt die Konzentration der Investitionen auf den am weitesten fortgeschrittenen Startups und stärker konsolidierten Modellen (den sogenannten </w:t>
      </w:r>
      <w:proofErr w:type="spellStart"/>
      <w:r w:rsidRPr="00AD5234">
        <w:rPr>
          <w:rFonts w:ascii="Arial" w:hAnsi="Arial" w:cs="Arial"/>
          <w:color w:val="000000" w:themeColor="text1"/>
          <w:sz w:val="20"/>
          <w:szCs w:val="20"/>
          <w:lang w:val="de-DE"/>
        </w:rPr>
        <w:t>Outliers</w:t>
      </w:r>
      <w:proofErr w:type="spellEnd"/>
      <w:r w:rsidRPr="00AD5234">
        <w:rPr>
          <w:rFonts w:ascii="Arial" w:hAnsi="Arial" w:cs="Arial"/>
          <w:color w:val="000000" w:themeColor="text1"/>
          <w:sz w:val="20"/>
          <w:szCs w:val="20"/>
          <w:lang w:val="de-DE"/>
        </w:rPr>
        <w:t xml:space="preserve">) mit Einsätzen von mehr als 100 Millionen Dollar. Sie sind hauptsächlich in den Vereinigten Staaten und Asien angesiedelt. Andererseits zeigt die Studie, dass die größte Anzahl von Transaktionen jüngere Unternehmen betrifft, die anfangen, ihre Geschäftsmodelle zu nutzen (die sogenannten Standards) und die ihr Leistungsangebot ergänzen sowie einen Teil ihrer Wertschöpfungskette </w:t>
      </w:r>
      <w:r w:rsidR="001523CF">
        <w:rPr>
          <w:rFonts w:ascii="Arial" w:hAnsi="Arial" w:cs="Arial"/>
          <w:color w:val="000000" w:themeColor="text1"/>
          <w:sz w:val="20"/>
          <w:szCs w:val="20"/>
          <w:lang w:val="de-DE"/>
        </w:rPr>
        <w:t>transfor</w:t>
      </w:r>
      <w:r w:rsidR="001523CF" w:rsidRPr="00DA5922">
        <w:rPr>
          <w:rFonts w:ascii="Arial" w:hAnsi="Arial" w:cs="Arial"/>
          <w:color w:val="000000" w:themeColor="text1"/>
          <w:sz w:val="20"/>
          <w:szCs w:val="20"/>
          <w:lang w:val="de-DE"/>
        </w:rPr>
        <w:t>mieren</w:t>
      </w:r>
      <w:r w:rsidRPr="00DA5922">
        <w:rPr>
          <w:rFonts w:ascii="Arial" w:hAnsi="Arial" w:cs="Arial"/>
          <w:color w:val="000000" w:themeColor="text1"/>
          <w:sz w:val="20"/>
          <w:szCs w:val="20"/>
          <w:lang w:val="de-DE"/>
        </w:rPr>
        <w:t>. Diese Unternehmen sind hauptsächlich europäisch, und die Einsätze liegen bei etwa 5 Millionen Dollar.</w:t>
      </w:r>
    </w:p>
    <w:p w14:paraId="291560AC" w14:textId="77777777" w:rsidR="00AD5234" w:rsidRPr="00DA5922" w:rsidRDefault="00AD5234" w:rsidP="00DA5922">
      <w:pPr>
        <w:pStyle w:val="Default"/>
        <w:rPr>
          <w:rFonts w:ascii="Arial" w:hAnsi="Arial" w:cs="Arial"/>
          <w:color w:val="000000" w:themeColor="text1"/>
          <w:sz w:val="20"/>
          <w:szCs w:val="20"/>
          <w:lang w:val="de-DE"/>
        </w:rPr>
      </w:pPr>
    </w:p>
    <w:p w14:paraId="0C9A9483" w14:textId="7F86ECEB" w:rsidR="007F149D" w:rsidRPr="00DA5922" w:rsidRDefault="007F149D" w:rsidP="00DA5922">
      <w:pPr>
        <w:pStyle w:val="HTMLVorformatiert"/>
        <w:shd w:val="clear" w:color="auto" w:fill="F8F9FA"/>
        <w:rPr>
          <w:rFonts w:ascii="Arial" w:eastAsia="Times New Roman" w:hAnsi="Arial" w:cs="Arial"/>
          <w:color w:val="202124"/>
          <w:lang w:val="de-AT" w:eastAsia="de-AT"/>
        </w:rPr>
      </w:pPr>
      <w:r w:rsidRPr="00DA5922">
        <w:rPr>
          <w:rFonts w:ascii="Arial" w:eastAsiaTheme="minorHAnsi" w:hAnsi="Arial" w:cs="Arial"/>
          <w:color w:val="000000" w:themeColor="text1"/>
          <w:lang w:val="de-DE" w:eastAsia="en-US"/>
        </w:rPr>
        <w:t>Mehr Inform</w:t>
      </w:r>
      <w:r w:rsidR="00CB35D1" w:rsidRPr="00DA5922">
        <w:rPr>
          <w:rFonts w:ascii="Arial" w:eastAsiaTheme="minorHAnsi" w:hAnsi="Arial" w:cs="Arial"/>
          <w:color w:val="000000" w:themeColor="text1"/>
          <w:lang w:val="de-DE" w:eastAsia="en-US"/>
        </w:rPr>
        <w:t>ationen zur Studie und den 10 Schlüsselmaßnahmen für Versicherer</w:t>
      </w:r>
      <w:r w:rsidRPr="00DA5922">
        <w:rPr>
          <w:rFonts w:ascii="Arial" w:eastAsiaTheme="minorHAnsi" w:hAnsi="Arial" w:cs="Arial"/>
          <w:color w:val="000000" w:themeColor="text1"/>
          <w:lang w:val="de-DE" w:eastAsia="en-US"/>
        </w:rPr>
        <w:t xml:space="preserve"> </w:t>
      </w:r>
      <w:r w:rsidR="00CB35D1" w:rsidRPr="00DA5922">
        <w:rPr>
          <w:rFonts w:ascii="Arial" w:eastAsiaTheme="minorHAnsi" w:hAnsi="Arial" w:cs="Arial"/>
          <w:color w:val="000000" w:themeColor="text1"/>
          <w:lang w:val="de-DE" w:eastAsia="en-US"/>
        </w:rPr>
        <w:t xml:space="preserve">finden Sie </w:t>
      </w:r>
      <w:hyperlink r:id="rId8" w:history="1">
        <w:r w:rsidR="00CB35D1" w:rsidRPr="00DA5922">
          <w:rPr>
            <w:rStyle w:val="Hyperlink"/>
            <w:rFonts w:ascii="Arial" w:eastAsiaTheme="minorHAnsi" w:hAnsi="Arial" w:cs="Arial"/>
            <w:lang w:val="de-DE" w:eastAsia="en-US"/>
          </w:rPr>
          <w:t>hier</w:t>
        </w:r>
      </w:hyperlink>
      <w:r w:rsidR="00CB35D1" w:rsidRPr="00DA5922">
        <w:rPr>
          <w:rFonts w:ascii="Arial" w:eastAsiaTheme="minorHAnsi" w:hAnsi="Arial" w:cs="Arial"/>
          <w:color w:val="000000" w:themeColor="text1"/>
          <w:lang w:val="de-DE" w:eastAsia="en-US"/>
        </w:rPr>
        <w:t xml:space="preserve">. Weitere Informationen </w:t>
      </w:r>
      <w:r w:rsidR="00DA5922" w:rsidRPr="00DA5922">
        <w:rPr>
          <w:rFonts w:ascii="Arial" w:eastAsiaTheme="minorHAnsi" w:hAnsi="Arial" w:cs="Arial"/>
          <w:color w:val="000000" w:themeColor="text1"/>
          <w:lang w:val="de-DE" w:eastAsia="en-US"/>
        </w:rPr>
        <w:t>rund um</w:t>
      </w:r>
      <w:r w:rsidR="00CB35D1" w:rsidRPr="00DA5922">
        <w:rPr>
          <w:rFonts w:ascii="Arial" w:eastAsiaTheme="minorHAnsi" w:hAnsi="Arial" w:cs="Arial"/>
          <w:color w:val="000000" w:themeColor="text1"/>
          <w:lang w:val="de-DE" w:eastAsia="en-US"/>
        </w:rPr>
        <w:t xml:space="preserve"> </w:t>
      </w:r>
      <w:r w:rsidR="00DA5922">
        <w:rPr>
          <w:rFonts w:ascii="Arial" w:eastAsiaTheme="minorHAnsi" w:hAnsi="Arial" w:cs="Arial"/>
          <w:color w:val="000000" w:themeColor="text1"/>
          <w:lang w:val="de-DE" w:eastAsia="en-US"/>
        </w:rPr>
        <w:t xml:space="preserve">die </w:t>
      </w:r>
      <w:r w:rsidR="00DA5922" w:rsidRPr="00DA5922">
        <w:rPr>
          <w:rFonts w:ascii="Arial" w:hAnsi="Arial" w:cs="Arial"/>
          <w:iCs/>
          <w:lang w:val="de-AT"/>
        </w:rPr>
        <w:t>Insurance Vision</w:t>
      </w:r>
      <w:r w:rsidR="00DA5922" w:rsidRPr="00DA5922">
        <w:rPr>
          <w:rFonts w:ascii="Arial" w:eastAsiaTheme="minorHAnsi" w:hAnsi="Arial" w:cs="Arial"/>
          <w:color w:val="000000" w:themeColor="text1"/>
          <w:lang w:val="de-DE" w:eastAsia="en-US"/>
        </w:rPr>
        <w:t xml:space="preserve"> </w:t>
      </w:r>
      <w:r w:rsidR="00337141" w:rsidRPr="00DA5922">
        <w:rPr>
          <w:rFonts w:ascii="Arial" w:hAnsi="Arial" w:cs="Arial"/>
          <w:iCs/>
          <w:lang w:val="de-AT"/>
        </w:rPr>
        <w:t>2022</w:t>
      </w:r>
      <w:r w:rsidR="008E5527">
        <w:rPr>
          <w:rFonts w:ascii="Arial" w:hAnsi="Arial" w:cs="Arial"/>
          <w:iCs/>
          <w:lang w:val="de-AT"/>
        </w:rPr>
        <w:t xml:space="preserve"> </w:t>
      </w:r>
      <w:r w:rsidR="008E5527" w:rsidRPr="00DA5922">
        <w:rPr>
          <w:rFonts w:ascii="Arial" w:eastAsiaTheme="minorHAnsi" w:hAnsi="Arial" w:cs="Arial"/>
          <w:color w:val="000000" w:themeColor="text1"/>
          <w:lang w:val="de-DE" w:eastAsia="en-US"/>
        </w:rPr>
        <w:t>als ONE NTT DATA weltweit</w:t>
      </w:r>
      <w:r w:rsidR="008E5527">
        <w:rPr>
          <w:rFonts w:ascii="Arial" w:eastAsiaTheme="minorHAnsi" w:hAnsi="Arial" w:cs="Arial"/>
          <w:color w:val="000000" w:themeColor="text1"/>
          <w:lang w:val="de-DE" w:eastAsia="en-US"/>
        </w:rPr>
        <w:t xml:space="preserve"> </w:t>
      </w:r>
      <w:r w:rsidR="00DA5922">
        <w:rPr>
          <w:rFonts w:ascii="Arial" w:eastAsiaTheme="minorHAnsi" w:hAnsi="Arial" w:cs="Arial"/>
          <w:color w:val="000000" w:themeColor="text1"/>
          <w:lang w:val="de-DE" w:eastAsia="en-US"/>
        </w:rPr>
        <w:t xml:space="preserve">und </w:t>
      </w:r>
      <w:proofErr w:type="spellStart"/>
      <w:r w:rsidRPr="00DA5922">
        <w:rPr>
          <w:rFonts w:ascii="Arial" w:eastAsiaTheme="minorHAnsi" w:hAnsi="Arial" w:cs="Arial"/>
          <w:color w:val="000000" w:themeColor="text1"/>
          <w:lang w:val="de-DE" w:eastAsia="en-US"/>
        </w:rPr>
        <w:t>Success</w:t>
      </w:r>
      <w:proofErr w:type="spellEnd"/>
      <w:r w:rsidRPr="00DA5922">
        <w:rPr>
          <w:rFonts w:ascii="Arial" w:eastAsiaTheme="minorHAnsi" w:hAnsi="Arial" w:cs="Arial"/>
          <w:color w:val="000000" w:themeColor="text1"/>
          <w:lang w:val="de-DE" w:eastAsia="en-US"/>
        </w:rPr>
        <w:t xml:space="preserve"> Stories finden Sie </w:t>
      </w:r>
      <w:r w:rsidR="00DA5922">
        <w:rPr>
          <w:rFonts w:ascii="Arial" w:eastAsiaTheme="minorHAnsi" w:hAnsi="Arial" w:cs="Arial"/>
          <w:color w:val="000000" w:themeColor="text1"/>
          <w:lang w:val="de-DE" w:eastAsia="en-US"/>
        </w:rPr>
        <w:t xml:space="preserve">auf der </w:t>
      </w:r>
      <w:r w:rsidR="00DA5922" w:rsidRPr="00DA5922">
        <w:rPr>
          <w:rFonts w:ascii="Arial" w:eastAsia="Times New Roman" w:hAnsi="Arial" w:cs="Arial"/>
          <w:color w:val="202124"/>
          <w:lang w:val="de-DE" w:eastAsia="de-AT"/>
        </w:rPr>
        <w:t>neue</w:t>
      </w:r>
      <w:r w:rsidR="00DA5922">
        <w:rPr>
          <w:rFonts w:ascii="Arial" w:eastAsia="Times New Roman" w:hAnsi="Arial" w:cs="Arial"/>
          <w:color w:val="202124"/>
          <w:lang w:val="de-DE" w:eastAsia="de-AT"/>
        </w:rPr>
        <w:t>n</w:t>
      </w:r>
      <w:r w:rsidR="00DA5922" w:rsidRPr="00DA5922">
        <w:rPr>
          <w:rFonts w:ascii="Arial" w:eastAsia="Times New Roman" w:hAnsi="Arial" w:cs="Arial"/>
          <w:color w:val="202124"/>
          <w:lang w:val="de-DE" w:eastAsia="de-AT"/>
        </w:rPr>
        <w:t xml:space="preserve"> Website für die Versicherungsbranche</w:t>
      </w:r>
      <w:r w:rsidR="00DA5922">
        <w:rPr>
          <w:rFonts w:ascii="Arial" w:eastAsia="Times New Roman" w:hAnsi="Arial" w:cs="Arial"/>
          <w:color w:val="202124"/>
          <w:lang w:val="de-AT" w:eastAsia="de-AT"/>
        </w:rPr>
        <w:t xml:space="preserve"> </w:t>
      </w:r>
      <w:r w:rsidR="00CB35D1" w:rsidRPr="00DA5922">
        <w:rPr>
          <w:rFonts w:ascii="Arial" w:eastAsiaTheme="minorHAnsi" w:hAnsi="Arial" w:cs="Arial"/>
          <w:color w:val="000000" w:themeColor="text1"/>
          <w:lang w:val="de-DE" w:eastAsia="en-US"/>
        </w:rPr>
        <w:t xml:space="preserve">unter folgendem </w:t>
      </w:r>
      <w:hyperlink r:id="rId9" w:history="1">
        <w:r w:rsidR="00CB35D1" w:rsidRPr="00DA5922">
          <w:rPr>
            <w:rStyle w:val="Hyperlink"/>
            <w:rFonts w:ascii="Arial" w:eastAsiaTheme="minorHAnsi" w:hAnsi="Arial" w:cs="Arial"/>
            <w:lang w:val="de-DE" w:eastAsia="en-US"/>
          </w:rPr>
          <w:t>Link</w:t>
        </w:r>
      </w:hyperlink>
      <w:r w:rsidR="00CB35D1" w:rsidRPr="00DA5922">
        <w:rPr>
          <w:rFonts w:ascii="Arial" w:eastAsiaTheme="minorHAnsi" w:hAnsi="Arial" w:cs="Arial"/>
          <w:color w:val="000000" w:themeColor="text1"/>
          <w:lang w:val="de-DE" w:eastAsia="en-US"/>
        </w:rPr>
        <w:t>.</w:t>
      </w:r>
    </w:p>
    <w:p w14:paraId="53D12878" w14:textId="77777777" w:rsidR="00DA5922" w:rsidRPr="00DA5922" w:rsidRDefault="00DA5922" w:rsidP="00DA5922">
      <w:pPr>
        <w:pStyle w:val="Default"/>
        <w:rPr>
          <w:rFonts w:ascii="Arial" w:hAnsi="Arial" w:cs="Arial"/>
          <w:color w:val="000000" w:themeColor="text1"/>
          <w:sz w:val="20"/>
          <w:szCs w:val="20"/>
          <w:lang w:val="de-DE"/>
        </w:rPr>
      </w:pPr>
    </w:p>
    <w:p w14:paraId="23C5D875" w14:textId="77777777" w:rsidR="00D0677D" w:rsidRPr="007140C7" w:rsidRDefault="00D0677D" w:rsidP="005F410F">
      <w:pPr>
        <w:pStyle w:val="Default"/>
        <w:rPr>
          <w:rFonts w:ascii="Arial" w:hAnsi="Arial" w:cs="Arial"/>
          <w:sz w:val="20"/>
          <w:lang w:val="de-DE"/>
        </w:rPr>
      </w:pPr>
    </w:p>
    <w:p w14:paraId="4A872E10" w14:textId="368E3C92"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0"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2CECD1B" w14:textId="5BA51A6C" w:rsidR="00634EE4" w:rsidRPr="00634EE4" w:rsidRDefault="00634EE4" w:rsidP="005F410F">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11"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2"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3"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5F410F">
      <w:pPr>
        <w:rPr>
          <w:rFonts w:ascii="Arial" w:eastAsia="DengXian" w:hAnsi="Arial" w:cs="Arial"/>
          <w:sz w:val="20"/>
          <w:szCs w:val="20"/>
          <w:lang w:val="de-DE"/>
        </w:rPr>
      </w:pPr>
    </w:p>
    <w:p w14:paraId="3F9CF0CD" w14:textId="77777777" w:rsidR="00634EE4" w:rsidRPr="00634EE4" w:rsidRDefault="00634EE4" w:rsidP="005F410F">
      <w:pPr>
        <w:rPr>
          <w:rFonts w:ascii="Arial" w:eastAsia="DengXian" w:hAnsi="Arial" w:cs="Arial"/>
          <w:sz w:val="20"/>
          <w:szCs w:val="20"/>
          <w:lang w:val="de-AT"/>
        </w:rPr>
      </w:pPr>
    </w:p>
    <w:p w14:paraId="61B4B7B8" w14:textId="49B58121" w:rsidR="00634EE4" w:rsidRPr="00634EE4" w:rsidRDefault="00634EE4" w:rsidP="005F410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4"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Senior Consultant</w:t>
      </w:r>
    </w:p>
    <w:p w14:paraId="53AFBCC2" w14:textId="5CEF3172"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Tel.: +49 7071 93872 217</w:t>
      </w:r>
    </w:p>
    <w:p w14:paraId="241679E3" w14:textId="4F3169A5" w:rsidR="005E3785" w:rsidRPr="001C35D6"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1C35D6">
        <w:rPr>
          <w:rFonts w:ascii="Arial" w:eastAsiaTheme="minorHAnsi" w:hAnsi="Arial" w:cs="Arial"/>
          <w:color w:val="000000" w:themeColor="text1"/>
          <w:sz w:val="20"/>
          <w:szCs w:val="20"/>
          <w:lang w:val="en-US" w:eastAsia="en-US"/>
        </w:rPr>
        <w:t xml:space="preserve">E-Mail: </w:t>
      </w:r>
      <w:hyperlink r:id="rId15" w:history="1">
        <w:r w:rsidRPr="001C35D6">
          <w:rPr>
            <w:rStyle w:val="Hyperlink"/>
            <w:rFonts w:ascii="Arial" w:eastAsiaTheme="minorHAnsi" w:hAnsi="Arial" w:cs="Arial"/>
            <w:sz w:val="20"/>
            <w:szCs w:val="20"/>
            <w:lang w:val="en-US" w:eastAsia="en-US"/>
          </w:rPr>
          <w:t>g.oelschlaeger@storymaker.de</w:t>
        </w:r>
      </w:hyperlink>
    </w:p>
    <w:sectPr w:rsidR="005E3785" w:rsidRPr="001C35D6" w:rsidSect="005E3785">
      <w:headerReference w:type="default" r:id="rId16"/>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AC89" w16cex:dateUtc="2021-05-25T15:04:00Z"/>
  <w16cex:commentExtensible w16cex:durableId="24560846" w16cex:dateUtc="2021-05-24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15968" w16cid:durableId="2457AC89"/>
  <w16cid:commentId w16cid:paraId="53F63CA0" w16cid:durableId="24560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8161" w14:textId="77777777" w:rsidR="003A2CF6" w:rsidRDefault="003A2CF6" w:rsidP="00845677">
      <w:r>
        <w:separator/>
      </w:r>
    </w:p>
  </w:endnote>
  <w:endnote w:type="continuationSeparator" w:id="0">
    <w:p w14:paraId="5732A940" w14:textId="77777777" w:rsidR="003A2CF6" w:rsidRDefault="003A2CF6"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3C55" w14:textId="77777777" w:rsidR="003A2CF6" w:rsidRDefault="003A2CF6" w:rsidP="00845677">
      <w:r>
        <w:separator/>
      </w:r>
    </w:p>
  </w:footnote>
  <w:footnote w:type="continuationSeparator" w:id="0">
    <w:p w14:paraId="37EA40BB" w14:textId="77777777" w:rsidR="003A2CF6" w:rsidRDefault="003A2CF6"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3A2CF6"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0630F3" w:rsidRDefault="00FB6B76">
                          <w:pPr>
                            <w:rPr>
                              <w:rFonts w:ascii="Arial" w:hAnsi="Arial" w:cs="Arial"/>
                              <w:sz w:val="48"/>
                              <w:lang w:val="de-DE"/>
                            </w:rPr>
                          </w:pPr>
                          <w:r w:rsidRPr="000630F3">
                            <w:rPr>
                              <w:rFonts w:ascii="Arial" w:hAnsi="Arial" w:cs="Arial"/>
                              <w:sz w:val="48"/>
                              <w:lang w:val="de-DE"/>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0630F3" w:rsidRDefault="00FB6B76">
                    <w:pPr>
                      <w:rPr>
                        <w:rFonts w:ascii="Arial" w:hAnsi="Arial" w:cs="Arial"/>
                        <w:sz w:val="48"/>
                        <w:lang w:val="de-DE"/>
                      </w:rPr>
                    </w:pPr>
                    <w:r w:rsidRPr="000630F3">
                      <w:rPr>
                        <w:rFonts w:ascii="Arial" w:hAnsi="Arial" w:cs="Arial"/>
                        <w:sz w:val="48"/>
                        <w:lang w:val="de-DE"/>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2C96"/>
    <w:multiLevelType w:val="hybridMultilevel"/>
    <w:tmpl w:val="95BA8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630F3"/>
    <w:rsid w:val="0007390D"/>
    <w:rsid w:val="00083D1D"/>
    <w:rsid w:val="000F2843"/>
    <w:rsid w:val="0011512F"/>
    <w:rsid w:val="00120585"/>
    <w:rsid w:val="001523CF"/>
    <w:rsid w:val="00160B41"/>
    <w:rsid w:val="00170CFE"/>
    <w:rsid w:val="00175FB2"/>
    <w:rsid w:val="00192E5B"/>
    <w:rsid w:val="00195F33"/>
    <w:rsid w:val="001B6BCC"/>
    <w:rsid w:val="001C35D6"/>
    <w:rsid w:val="001D1D2C"/>
    <w:rsid w:val="001F58CB"/>
    <w:rsid w:val="001F7DD6"/>
    <w:rsid w:val="00207FF0"/>
    <w:rsid w:val="00210FFD"/>
    <w:rsid w:val="00222328"/>
    <w:rsid w:val="00254BA3"/>
    <w:rsid w:val="00263A49"/>
    <w:rsid w:val="002659E6"/>
    <w:rsid w:val="0026780F"/>
    <w:rsid w:val="00275ED7"/>
    <w:rsid w:val="002C5A8D"/>
    <w:rsid w:val="002C6315"/>
    <w:rsid w:val="002C6722"/>
    <w:rsid w:val="00304F73"/>
    <w:rsid w:val="00337141"/>
    <w:rsid w:val="00346FF1"/>
    <w:rsid w:val="00367B23"/>
    <w:rsid w:val="00385F71"/>
    <w:rsid w:val="0039177E"/>
    <w:rsid w:val="00392DEB"/>
    <w:rsid w:val="003A2CF6"/>
    <w:rsid w:val="003D1278"/>
    <w:rsid w:val="003E0D86"/>
    <w:rsid w:val="003E18F3"/>
    <w:rsid w:val="003E1F39"/>
    <w:rsid w:val="003E29BB"/>
    <w:rsid w:val="003F0E8F"/>
    <w:rsid w:val="00456909"/>
    <w:rsid w:val="004752A5"/>
    <w:rsid w:val="00491448"/>
    <w:rsid w:val="0049186C"/>
    <w:rsid w:val="00493028"/>
    <w:rsid w:val="004A1C37"/>
    <w:rsid w:val="004B50F7"/>
    <w:rsid w:val="00526C03"/>
    <w:rsid w:val="0055763B"/>
    <w:rsid w:val="0059368A"/>
    <w:rsid w:val="00594539"/>
    <w:rsid w:val="0059583D"/>
    <w:rsid w:val="00597621"/>
    <w:rsid w:val="005C3F75"/>
    <w:rsid w:val="005D3D4D"/>
    <w:rsid w:val="005E1394"/>
    <w:rsid w:val="005E1D39"/>
    <w:rsid w:val="005E3652"/>
    <w:rsid w:val="005E3785"/>
    <w:rsid w:val="005E6BFE"/>
    <w:rsid w:val="005F410F"/>
    <w:rsid w:val="0060077D"/>
    <w:rsid w:val="006063B3"/>
    <w:rsid w:val="006205D2"/>
    <w:rsid w:val="00621FA1"/>
    <w:rsid w:val="00632F96"/>
    <w:rsid w:val="006335AF"/>
    <w:rsid w:val="00633AA7"/>
    <w:rsid w:val="00634EE4"/>
    <w:rsid w:val="00641089"/>
    <w:rsid w:val="00645BD9"/>
    <w:rsid w:val="00687B19"/>
    <w:rsid w:val="006A1735"/>
    <w:rsid w:val="006A4E16"/>
    <w:rsid w:val="006A7A97"/>
    <w:rsid w:val="006D5AEE"/>
    <w:rsid w:val="00707AD2"/>
    <w:rsid w:val="00711507"/>
    <w:rsid w:val="0071766E"/>
    <w:rsid w:val="00723228"/>
    <w:rsid w:val="0072733F"/>
    <w:rsid w:val="007304B4"/>
    <w:rsid w:val="00752923"/>
    <w:rsid w:val="00781762"/>
    <w:rsid w:val="00793D20"/>
    <w:rsid w:val="007F149D"/>
    <w:rsid w:val="00806D60"/>
    <w:rsid w:val="00820376"/>
    <w:rsid w:val="00824297"/>
    <w:rsid w:val="00841700"/>
    <w:rsid w:val="00845677"/>
    <w:rsid w:val="0089392A"/>
    <w:rsid w:val="008B6D74"/>
    <w:rsid w:val="008E5527"/>
    <w:rsid w:val="00913100"/>
    <w:rsid w:val="00937D12"/>
    <w:rsid w:val="00952DD0"/>
    <w:rsid w:val="00953741"/>
    <w:rsid w:val="00955976"/>
    <w:rsid w:val="0098307C"/>
    <w:rsid w:val="0099190B"/>
    <w:rsid w:val="009E3C0C"/>
    <w:rsid w:val="00A066D4"/>
    <w:rsid w:val="00A23A7B"/>
    <w:rsid w:val="00A36474"/>
    <w:rsid w:val="00A42A24"/>
    <w:rsid w:val="00A53487"/>
    <w:rsid w:val="00A6760F"/>
    <w:rsid w:val="00A91A24"/>
    <w:rsid w:val="00A93997"/>
    <w:rsid w:val="00AA4E93"/>
    <w:rsid w:val="00AD5234"/>
    <w:rsid w:val="00AF4863"/>
    <w:rsid w:val="00B02824"/>
    <w:rsid w:val="00B16110"/>
    <w:rsid w:val="00B21932"/>
    <w:rsid w:val="00B3219E"/>
    <w:rsid w:val="00B32A38"/>
    <w:rsid w:val="00B42C03"/>
    <w:rsid w:val="00B60BDD"/>
    <w:rsid w:val="00B63711"/>
    <w:rsid w:val="00B8672F"/>
    <w:rsid w:val="00BA16FF"/>
    <w:rsid w:val="00BB374D"/>
    <w:rsid w:val="00BE1E00"/>
    <w:rsid w:val="00C20B82"/>
    <w:rsid w:val="00C25E1B"/>
    <w:rsid w:val="00C4035E"/>
    <w:rsid w:val="00C50ACE"/>
    <w:rsid w:val="00C74E6B"/>
    <w:rsid w:val="00C84ED8"/>
    <w:rsid w:val="00C871EE"/>
    <w:rsid w:val="00CB35D1"/>
    <w:rsid w:val="00CD5A3E"/>
    <w:rsid w:val="00CD73C6"/>
    <w:rsid w:val="00D039AF"/>
    <w:rsid w:val="00D0677D"/>
    <w:rsid w:val="00D156B7"/>
    <w:rsid w:val="00D35710"/>
    <w:rsid w:val="00D37436"/>
    <w:rsid w:val="00D65C5B"/>
    <w:rsid w:val="00D925F8"/>
    <w:rsid w:val="00DA5922"/>
    <w:rsid w:val="00DD4BC2"/>
    <w:rsid w:val="00DD7EE6"/>
    <w:rsid w:val="00DF1FF2"/>
    <w:rsid w:val="00E02B25"/>
    <w:rsid w:val="00E17153"/>
    <w:rsid w:val="00E2177B"/>
    <w:rsid w:val="00E33A80"/>
    <w:rsid w:val="00E44FCC"/>
    <w:rsid w:val="00E92806"/>
    <w:rsid w:val="00E95598"/>
    <w:rsid w:val="00E974B8"/>
    <w:rsid w:val="00ED0FF0"/>
    <w:rsid w:val="00F140EB"/>
    <w:rsid w:val="00F17B2F"/>
    <w:rsid w:val="00F21AD3"/>
    <w:rsid w:val="00F24653"/>
    <w:rsid w:val="00F36854"/>
    <w:rsid w:val="00F6588A"/>
    <w:rsid w:val="00F84075"/>
    <w:rsid w:val="00F859A6"/>
    <w:rsid w:val="00F86F32"/>
    <w:rsid w:val="00FB0B6B"/>
    <w:rsid w:val="00FB1A13"/>
    <w:rsid w:val="00FB6B76"/>
    <w:rsid w:val="00FD64BF"/>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KeinLeerraum">
    <w:name w:val="No Spacing"/>
    <w:uiPriority w:val="1"/>
    <w:qFormat/>
    <w:rsid w:val="00AD5234"/>
    <w:pPr>
      <w:spacing w:after="0" w:line="240" w:lineRule="auto"/>
    </w:pPr>
    <w:rPr>
      <w:rFonts w:eastAsiaTheme="minorHAnsi"/>
      <w:lang w:val="es-ES"/>
    </w:rPr>
  </w:style>
  <w:style w:type="paragraph" w:styleId="berarbeitung">
    <w:name w:val="Revision"/>
    <w:hidden/>
    <w:uiPriority w:val="99"/>
    <w:semiHidden/>
    <w:rsid w:val="00192E5B"/>
    <w:pPr>
      <w:spacing w:after="0" w:line="240" w:lineRule="auto"/>
    </w:pPr>
    <w:rPr>
      <w:rFonts w:ascii="Times New Roman" w:hAnsi="Times New Roman" w:cs="Times New Roman"/>
      <w:sz w:val="24"/>
      <w:szCs w:val="24"/>
      <w:lang w:val="en-GB" w:eastAsia="zh-CN"/>
    </w:rPr>
  </w:style>
  <w:style w:type="paragraph" w:styleId="HTMLVorformatiert">
    <w:name w:val="HTML Preformatted"/>
    <w:basedOn w:val="Standard"/>
    <w:link w:val="HTMLVorformatiertZchn"/>
    <w:uiPriority w:val="99"/>
    <w:semiHidden/>
    <w:unhideWhenUsed/>
    <w:rsid w:val="007F149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F149D"/>
    <w:rPr>
      <w:rFonts w:ascii="Consolas" w:hAnsi="Consolas"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129">
      <w:bodyDiv w:val="1"/>
      <w:marLeft w:val="0"/>
      <w:marRight w:val="0"/>
      <w:marTop w:val="0"/>
      <w:marBottom w:val="0"/>
      <w:divBdr>
        <w:top w:val="none" w:sz="0" w:space="0" w:color="auto"/>
        <w:left w:val="none" w:sz="0" w:space="0" w:color="auto"/>
        <w:bottom w:val="none" w:sz="0" w:space="0" w:color="auto"/>
        <w:right w:val="none" w:sz="0" w:space="0" w:color="auto"/>
      </w:divBdr>
    </w:div>
    <w:div w:id="709496347">
      <w:bodyDiv w:val="1"/>
      <w:marLeft w:val="0"/>
      <w:marRight w:val="0"/>
      <w:marTop w:val="0"/>
      <w:marBottom w:val="0"/>
      <w:divBdr>
        <w:top w:val="none" w:sz="0" w:space="0" w:color="auto"/>
        <w:left w:val="none" w:sz="0" w:space="0" w:color="auto"/>
        <w:bottom w:val="none" w:sz="0" w:space="0" w:color="auto"/>
        <w:right w:val="none" w:sz="0" w:space="0" w:color="auto"/>
      </w:divBdr>
    </w:div>
    <w:div w:id="980231091">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urtech-insurance.nttdata.com/" TargetMode="External"/><Relationship Id="rId13" Type="http://schemas.openxmlformats.org/officeDocument/2006/relationships/hyperlink" Target="file:///C:\Users\SPITZC\AppData\Local\Microsoft\Windows\INetCache\Content.Outlook\XU0Y9KIQ\ch.nttda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file:///C:\Users\SPITZC\AppData\Local\Microsoft\Windows\INetCache\Content.Outlook\XU0Y9KIQ\at.nttdat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de.nttdata.com" TargetMode="External"/><Relationship Id="rId5" Type="http://schemas.openxmlformats.org/officeDocument/2006/relationships/footnotes" Target="footnotes.xml"/><Relationship Id="rId15" Type="http://schemas.openxmlformats.org/officeDocument/2006/relationships/hyperlink" Target="mailto:g.oelschlaeger@storymaker.de" TargetMode="External"/><Relationship Id="rId10" Type="http://schemas.openxmlformats.org/officeDocument/2006/relationships/hyperlink" Target="https://www.nttdata.com/global/en/"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insurance.nttdata.com/" TargetMode="Externa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8563</Characters>
  <Application>Microsoft Office Word</Application>
  <DocSecurity>0</DocSecurity>
  <Lines>71</Lines>
  <Paragraphs>19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2021-05-27T10:54:00Z</dcterms:created>
  <dcterms:modified xsi:type="dcterms:W3CDTF">2021-05-27T10:54:00Z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